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00" w:lineRule="auto"/>
        <w:jc w:val="left"/>
        <w:rPr>
          <w:rFonts w:hint="eastAsia" w:eastAsia="黑体"/>
          <w:sz w:val="32"/>
          <w:szCs w:val="32"/>
          <w:lang w:eastAsia="zh-CN"/>
        </w:rPr>
      </w:pPr>
      <w:bookmarkStart w:id="0" w:name="SectionMark4"/>
      <w:r>
        <w:rPr>
          <w:rFonts w:eastAsia="黑体"/>
          <w:sz w:val="32"/>
          <w:szCs w:val="32"/>
        </w:rPr>
        <w:t>附件1</w:t>
      </w:r>
      <w:r>
        <w:rPr>
          <w:rFonts w:hint="eastAsia" w:eastAsia="黑体"/>
          <w:sz w:val="32"/>
          <w:szCs w:val="32"/>
          <w:lang w:val="en-US" w:eastAsia="zh-CN"/>
        </w:rPr>
        <w:t>1</w:t>
      </w:r>
      <w:bookmarkStart w:id="5" w:name="_GoBack"/>
      <w:bookmarkEnd w:id="5"/>
    </w:p>
    <w:p>
      <w:pPr>
        <w:widowControl/>
        <w:snapToGrid w:val="0"/>
        <w:spacing w:before="156" w:beforeLines="50" w:after="156" w:afterLines="50" w:line="300" w:lineRule="auto"/>
        <w:ind w:left="2" w:leftChars="1"/>
        <w:jc w:val="center"/>
        <w:rPr>
          <w:rFonts w:eastAsia="黑体"/>
          <w:bCs/>
          <w:color w:val="000000"/>
          <w:kern w:val="0"/>
          <w:sz w:val="32"/>
          <w:szCs w:val="32"/>
        </w:rPr>
      </w:pPr>
      <w:r>
        <w:rPr>
          <w:rFonts w:eastAsia="黑体"/>
          <w:bCs/>
          <w:color w:val="000000"/>
          <w:kern w:val="0"/>
          <w:sz w:val="32"/>
          <w:szCs w:val="32"/>
        </w:rPr>
        <w:t>化妆品用化学原料荧光素渗漏试验方法</w:t>
      </w:r>
    </w:p>
    <w:p>
      <w:pPr>
        <w:widowControl/>
        <w:snapToGrid w:val="0"/>
        <w:spacing w:before="156" w:beforeLines="50" w:after="156" w:afterLines="50" w:line="300" w:lineRule="auto"/>
        <w:ind w:left="2" w:leftChars="1"/>
        <w:jc w:val="center"/>
        <w:rPr>
          <w:rFonts w:eastAsia="方正小标宋简体"/>
          <w:bCs/>
          <w:color w:val="000000"/>
          <w:kern w:val="0"/>
          <w:szCs w:val="21"/>
        </w:rPr>
      </w:pPr>
      <w:r>
        <w:rPr>
          <w:rFonts w:eastAsia="方正小标宋简体"/>
          <w:bCs/>
          <w:color w:val="000000"/>
          <w:kern w:val="0"/>
          <w:szCs w:val="21"/>
        </w:rPr>
        <w:t>Fluorescein Leakage In Vitro Test Method</w:t>
      </w:r>
    </w:p>
    <w:bookmarkEnd w:id="0"/>
    <w:p>
      <w:pPr>
        <w:pStyle w:val="19"/>
        <w:snapToGrid w:val="0"/>
        <w:spacing w:before="156" w:beforeLines="50" w:after="156" w:afterLines="50" w:line="300" w:lineRule="auto"/>
        <w:ind w:firstLine="0" w:firstLineChars="0"/>
        <w:rPr>
          <w:rFonts w:ascii="Times New Roman" w:eastAsia="黑体"/>
          <w:bCs/>
          <w:szCs w:val="21"/>
        </w:rPr>
      </w:pPr>
      <w:r>
        <w:rPr>
          <w:rFonts w:ascii="Times New Roman" w:eastAsia="黑体"/>
          <w:bCs/>
          <w:szCs w:val="21"/>
        </w:rPr>
        <w:t>1  范围</w:t>
      </w:r>
    </w:p>
    <w:p>
      <w:pPr>
        <w:pStyle w:val="19"/>
        <w:snapToGrid w:val="0"/>
        <w:spacing w:before="156" w:beforeLines="50" w:after="156" w:afterLines="50" w:line="300" w:lineRule="auto"/>
        <w:ind w:firstLine="420"/>
        <w:rPr>
          <w:rFonts w:ascii="Times New Roman"/>
          <w:szCs w:val="21"/>
        </w:rPr>
      </w:pPr>
      <w:r>
        <w:rPr>
          <w:rFonts w:ascii="Times New Roman"/>
          <w:szCs w:val="21"/>
        </w:rPr>
        <w:t>本方法规定了体外荧光素渗漏试验的</w:t>
      </w:r>
      <w:r>
        <w:rPr>
          <w:rFonts w:ascii="Times New Roman"/>
          <w:color w:val="000000" w:themeColor="text1"/>
          <w:szCs w:val="21"/>
          <w14:textFill>
            <w14:solidFill>
              <w14:schemeClr w14:val="tx1"/>
            </w14:solidFill>
          </w14:textFill>
        </w:rPr>
        <w:t>要求和方法。</w:t>
      </w:r>
    </w:p>
    <w:p>
      <w:pPr>
        <w:pStyle w:val="19"/>
        <w:snapToGrid w:val="0"/>
        <w:spacing w:before="156" w:beforeLines="50" w:after="156" w:afterLines="50" w:line="300" w:lineRule="auto"/>
        <w:ind w:firstLine="420"/>
        <w:rPr>
          <w:rFonts w:ascii="Times New Roman"/>
          <w:szCs w:val="21"/>
        </w:rPr>
      </w:pPr>
      <w:r>
        <w:rPr>
          <w:rFonts w:ascii="Times New Roman"/>
          <w:szCs w:val="21"/>
        </w:rPr>
        <w:t>本方法适用于化妆品用水溶性化学原料安全性毒理学检测。</w:t>
      </w:r>
    </w:p>
    <w:p>
      <w:pPr>
        <w:pStyle w:val="19"/>
        <w:snapToGrid w:val="0"/>
        <w:spacing w:before="156" w:beforeLines="50" w:after="156" w:afterLines="50" w:line="300" w:lineRule="auto"/>
        <w:ind w:firstLine="0" w:firstLineChars="0"/>
        <w:rPr>
          <w:rFonts w:ascii="Times New Roman" w:eastAsia="黑体"/>
          <w:bCs/>
          <w:szCs w:val="21"/>
        </w:rPr>
      </w:pPr>
      <w:r>
        <w:rPr>
          <w:rFonts w:ascii="Times New Roman" w:eastAsia="黑体"/>
          <w:bCs/>
          <w:szCs w:val="21"/>
        </w:rPr>
        <w:t>2  试验目的</w:t>
      </w:r>
    </w:p>
    <w:p>
      <w:pPr>
        <w:pStyle w:val="19"/>
        <w:snapToGrid w:val="0"/>
        <w:spacing w:before="156" w:beforeLines="50" w:after="156" w:afterLines="50" w:line="300" w:lineRule="auto"/>
        <w:ind w:firstLine="420"/>
        <w:rPr>
          <w:rFonts w:ascii="Times New Roman"/>
          <w:szCs w:val="21"/>
        </w:rPr>
      </w:pPr>
      <w:r>
        <w:rPr>
          <w:rFonts w:ascii="Times New Roman"/>
          <w:szCs w:val="21"/>
        </w:rPr>
        <w:t>预测和评价化妆品用水溶性化学原料对眼睛是否具有强刺激性或腐蚀性。</w:t>
      </w:r>
    </w:p>
    <w:p>
      <w:pPr>
        <w:pStyle w:val="19"/>
        <w:snapToGrid w:val="0"/>
        <w:spacing w:before="156" w:beforeLines="50" w:after="156" w:afterLines="50" w:line="300" w:lineRule="auto"/>
        <w:ind w:firstLine="0" w:firstLineChars="0"/>
        <w:rPr>
          <w:rFonts w:ascii="Times New Roman" w:eastAsia="黑体"/>
          <w:bCs/>
          <w:szCs w:val="21"/>
        </w:rPr>
      </w:pPr>
      <w:r>
        <w:rPr>
          <w:rFonts w:ascii="Times New Roman" w:eastAsia="黑体"/>
          <w:bCs/>
          <w:szCs w:val="21"/>
        </w:rPr>
        <w:t>3  定义</w:t>
      </w:r>
    </w:p>
    <w:p>
      <w:pPr>
        <w:autoSpaceDE w:val="0"/>
        <w:autoSpaceDN w:val="0"/>
        <w:snapToGrid w:val="0"/>
        <w:spacing w:before="156" w:beforeLines="50" w:after="156" w:afterLines="50"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3.1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眼睛刺激性 eye irritation</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眼球表面接触受试物后所产生的可逆性炎性变化。</w:t>
      </w:r>
    </w:p>
    <w:p>
      <w:pPr>
        <w:autoSpaceDE w:val="0"/>
        <w:autoSpaceDN w:val="0"/>
        <w:snapToGrid w:val="0"/>
        <w:spacing w:before="156" w:beforeLines="50" w:after="156" w:afterLines="50"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3.2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眼睛腐蚀性 eye corrosion</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眼球表面接触受试物后引起的不可逆性组织损伤。</w:t>
      </w:r>
    </w:p>
    <w:p>
      <w:pPr>
        <w:autoSpaceDE w:val="0"/>
        <w:autoSpaceDN w:val="0"/>
        <w:snapToGrid w:val="0"/>
        <w:spacing w:before="156" w:beforeLines="50" w:after="156" w:afterLines="50"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3.3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荧光素渗漏 fluorescein leakage（FL）</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暴露于受试物后的MDCK细胞模型，一定时间内（30min）对荧光素钠溶液的渗漏。试验以不加细胞的嵌入型细胞培养皿（transwell）对荧光素钠溶液的渗漏作为最大荧光素渗漏；以阴性对照组MDCK细胞模型对荧光素钠溶液的渗漏作为最小渗漏（0%渗漏）。</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以受试物引起20%荧光素钠溶液渗漏时的浓度FL</w:t>
      </w:r>
      <w:r>
        <w:rPr>
          <w:color w:val="000000" w:themeColor="text1"/>
          <w:kern w:val="0"/>
          <w:szCs w:val="21"/>
          <w:vertAlign w:val="subscript"/>
          <w14:textFill>
            <w14:solidFill>
              <w14:schemeClr w14:val="tx1"/>
            </w14:solidFill>
          </w14:textFill>
        </w:rPr>
        <w:t>20</w:t>
      </w:r>
      <w:r>
        <w:rPr>
          <w:color w:val="000000" w:themeColor="text1"/>
          <w:kern w:val="0"/>
          <w:szCs w:val="21"/>
          <w14:textFill>
            <w14:solidFill>
              <w14:schemeClr w14:val="tx1"/>
            </w14:solidFill>
          </w14:textFill>
        </w:rPr>
        <w:t>（mg/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）作为判定受试物眼刺激/腐蚀性的标准。</w:t>
      </w:r>
    </w:p>
    <w:p>
      <w:pPr>
        <w:pStyle w:val="19"/>
        <w:snapToGrid w:val="0"/>
        <w:spacing w:before="156" w:beforeLines="50" w:after="156" w:afterLines="50" w:line="300" w:lineRule="auto"/>
        <w:ind w:firstLine="0" w:firstLineChars="0"/>
        <w:rPr>
          <w:rFonts w:ascii="Times New Roman" w:eastAsia="黑体"/>
          <w:bCs/>
          <w:szCs w:val="21"/>
        </w:rPr>
      </w:pPr>
      <w:r>
        <w:rPr>
          <w:rFonts w:ascii="Times New Roman" w:eastAsia="黑体"/>
          <w:bCs/>
          <w:szCs w:val="21"/>
        </w:rPr>
        <w:t>4  试验原理</w:t>
      </w:r>
    </w:p>
    <w:p>
      <w:pPr>
        <w:pStyle w:val="19"/>
        <w:snapToGrid w:val="0"/>
        <w:spacing w:before="156" w:beforeLines="50" w:after="156" w:afterLines="50" w:line="300" w:lineRule="auto"/>
        <w:ind w:firstLine="420"/>
        <w:rPr>
          <w:rFonts w:ascii="Times New Roman"/>
          <w:szCs w:val="21"/>
        </w:rPr>
      </w:pPr>
      <w:r>
        <w:rPr>
          <w:rFonts w:ascii="Times New Roman"/>
          <w:szCs w:val="21"/>
        </w:rPr>
        <w:t>以在嵌入型细胞培养皿（transwell）内单层培养的致密犬肾细胞（MDCK）来模拟眼角膜上皮细胞的屏障结构，通过检测暴露于受试物后的MDCK细胞模型对荧光素钠的渗漏率，来判断MDCK细胞模型的屏障破坏程度，进而预测和评估受试物的眼刺激/腐蚀性。</w:t>
      </w:r>
    </w:p>
    <w:p>
      <w:pPr>
        <w:pStyle w:val="19"/>
        <w:snapToGrid w:val="0"/>
        <w:spacing w:before="156" w:beforeLines="50" w:after="156" w:afterLines="50" w:line="300" w:lineRule="auto"/>
        <w:ind w:firstLine="0" w:firstLineChars="0"/>
        <w:rPr>
          <w:rFonts w:ascii="Times New Roman" w:eastAsia="黑体"/>
          <w:bCs/>
          <w:szCs w:val="21"/>
        </w:rPr>
      </w:pPr>
      <w:r>
        <w:rPr>
          <w:rFonts w:ascii="Times New Roman" w:eastAsia="黑体"/>
          <w:bCs/>
          <w:szCs w:val="21"/>
        </w:rPr>
        <w:t>5  试验方法</w:t>
      </w:r>
    </w:p>
    <w:p>
      <w:pPr>
        <w:autoSpaceDE w:val="0"/>
        <w:autoSpaceDN w:val="0"/>
        <w:snapToGrid w:val="0"/>
        <w:spacing w:before="156" w:beforeLines="50" w:after="156" w:afterLines="50"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5.1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试验材料与试剂</w:t>
      </w:r>
    </w:p>
    <w:p>
      <w:pPr>
        <w:autoSpaceDE w:val="0"/>
        <w:autoSpaceDN w:val="0"/>
        <w:snapToGrid w:val="0"/>
        <w:spacing w:before="156" w:beforeLines="50" w:after="156" w:afterLines="50"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5.1.1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细胞株</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采用犬肾细胞MDCK，该细胞为贴壁生长。要求：来源清晰，代数明确（&lt;30代）。</w:t>
      </w:r>
    </w:p>
    <w:p>
      <w:pPr>
        <w:autoSpaceDE w:val="0"/>
        <w:autoSpaceDN w:val="0"/>
        <w:snapToGrid w:val="0"/>
        <w:spacing w:before="156" w:beforeLines="50" w:after="156" w:afterLines="50"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5.1.2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培养基</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本方法采用不含酚红的DMEM-F12（1：1）混合培养液，培养液钙离子浓度为1.0～1.8 mM，培养液加入10%胎牛血清（FBS）和适量抗生素（终浓度为青霉素50～100 IU/</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，链霉素50～100 μg/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w:t>
      </w:r>
    </w:p>
    <w:p>
      <w:pPr>
        <w:autoSpaceDE w:val="0"/>
        <w:autoSpaceDN w:val="0"/>
        <w:snapToGrid w:val="0"/>
        <w:spacing w:before="156" w:beforeLines="50" w:after="156" w:afterLines="50"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5.1.3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溶液的配制</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0.01%（w/v）荧光素钠溶液：称取50 mg荧光素钠，溶解于500 </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不含酚红的HBSS溶液中，室温避光保存。</w:t>
      </w:r>
    </w:p>
    <w:p>
      <w:pPr>
        <w:autoSpaceDE w:val="0"/>
        <w:autoSpaceDN w:val="0"/>
        <w:snapToGrid w:val="0"/>
        <w:spacing w:before="156" w:beforeLines="50" w:after="156" w:afterLines="50" w:line="300" w:lineRule="auto"/>
        <w:ind w:firstLine="420" w:firstLineChars="200"/>
        <w:rPr>
          <w:szCs w:val="21"/>
        </w:rPr>
      </w:pPr>
      <w:r>
        <w:rPr>
          <w:color w:val="000000" w:themeColor="text1"/>
          <w:kern w:val="0"/>
          <w:szCs w:val="21"/>
          <w14:textFill>
            <w14:solidFill>
              <w14:schemeClr w14:val="tx1"/>
            </w14:solidFill>
          </w14:textFill>
        </w:rPr>
        <w:t>100 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 xml:space="preserve">聚氧乙烯十二烷醚（Brij-35，CAS 9002-92-0）溶液：称取100 mg Brij-35，溶解于1 </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不含酚红的HBSS溶液中，可以37 ℃水浴或超声10 min以内的方式助溶。</w:t>
      </w:r>
    </w:p>
    <w:p>
      <w:pPr>
        <w:autoSpaceDE w:val="0"/>
        <w:autoSpaceDN w:val="0"/>
        <w:snapToGrid w:val="0"/>
        <w:spacing w:before="156" w:beforeLines="50" w:after="156" w:afterLines="50"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5.1.4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溶剂的选择 </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本方法溶剂为不含酚红的HBSS缓冲液，受试物应在HBSS中以</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250 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的浓度溶解（至少满足一个剂量</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100 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）；若受试物在HBSS中的溶解度＜100 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，且测出FL</w:t>
      </w:r>
      <w:r>
        <w:rPr>
          <w:color w:val="000000" w:themeColor="text1"/>
          <w:kern w:val="0"/>
          <w:szCs w:val="21"/>
          <w:vertAlign w:val="subscript"/>
          <w14:textFill>
            <w14:solidFill>
              <w14:schemeClr w14:val="tx1"/>
            </w14:solidFill>
          </w14:textFill>
        </w:rPr>
        <w:t>20</w:t>
      </w:r>
      <w:r>
        <w:rPr>
          <w:color w:val="000000" w:themeColor="text1"/>
          <w:kern w:val="0"/>
          <w:szCs w:val="21"/>
          <w14:textFill>
            <w14:solidFill>
              <w14:schemeClr w14:val="tx1"/>
            </w14:solidFill>
          </w14:textFill>
        </w:rPr>
        <w:t>＜100 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时，试验条件仍成立。当受试物无法满足上述溶解条件时，不适用于本方法。</w:t>
      </w:r>
    </w:p>
    <w:p>
      <w:pPr>
        <w:autoSpaceDE w:val="0"/>
        <w:autoSpaceDN w:val="0"/>
        <w:snapToGrid w:val="0"/>
        <w:spacing w:before="156" w:beforeLines="50" w:after="156" w:afterLines="50"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5.1.5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受试物的浓度选择及配制</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bookmarkStart w:id="1" w:name="OLE_LINK3"/>
      <w:r>
        <w:rPr>
          <w:color w:val="000000" w:themeColor="text1"/>
          <w:kern w:val="0"/>
          <w:szCs w:val="21"/>
          <w14:textFill>
            <w14:solidFill>
              <w14:schemeClr w14:val="tx1"/>
            </w14:solidFill>
          </w14:textFill>
        </w:rPr>
        <w:t>受试物浓度梯度首选1、25、100、250 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、原液或饱和溶液五个浓度作为浓度梯度进行检测，若受试物为固体，最高浓度首选750 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w:t>
      </w:r>
      <w:bookmarkEnd w:id="1"/>
      <w:r>
        <w:rPr>
          <w:color w:val="000000" w:themeColor="text1"/>
          <w:kern w:val="0"/>
          <w:szCs w:val="21"/>
          <w14:textFill>
            <w14:solidFill>
              <w14:schemeClr w14:val="tx1"/>
            </w14:solidFill>
          </w14:textFill>
        </w:rPr>
        <w:t>如果细胞毒性出现在浓度25～100 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之间，则需要追加浓度梯度为：1、25、50、75、100 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的测试。受试物应在染毒前30 min内新鲜配制，否则必须证实储存不影响其稳定性。可采用升温或超声助溶，超声时间为10 min以内，如升温助溶，需注意室温下所有浓度的受试物溶液需保持溶液或混悬液状态。</w:t>
      </w:r>
    </w:p>
    <w:p>
      <w:pPr>
        <w:autoSpaceDE w:val="0"/>
        <w:autoSpaceDN w:val="0"/>
        <w:snapToGrid w:val="0"/>
        <w:spacing w:before="156" w:beforeLines="50" w:after="156" w:afterLines="50"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5.1.6</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 对照的选择 </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实验应同时设空白对照、阴性对照和阳性对照。以不种细胞的transwell模型加溶剂（不含酚红的HBSS）作为空白对照；MDCK细胞模型以溶剂（不含酚红的HBSS）作为阴性对照，以100 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 xml:space="preserve"> Brij-35溶液作为阳性对照。</w:t>
      </w:r>
    </w:p>
    <w:p>
      <w:pPr>
        <w:pStyle w:val="19"/>
        <w:snapToGrid w:val="0"/>
        <w:spacing w:before="156" w:beforeLines="50" w:after="156" w:afterLines="50" w:line="300" w:lineRule="auto"/>
        <w:ind w:firstLine="0" w:firstLineChars="0"/>
        <w:rPr>
          <w:rFonts w:ascii="Times New Roman" w:eastAsia="黑体"/>
          <w:bCs/>
          <w:szCs w:val="21"/>
        </w:rPr>
      </w:pPr>
      <w:r>
        <w:rPr>
          <w:rFonts w:ascii="Times New Roman" w:eastAsia="黑体"/>
          <w:bCs/>
          <w:szCs w:val="21"/>
        </w:rPr>
        <w:t xml:space="preserve">5.2 </w:t>
      </w:r>
      <w:r>
        <w:rPr>
          <w:rFonts w:hint="eastAsia" w:ascii="Times New Roman" w:eastAsia="黑体"/>
          <w:bCs/>
          <w:szCs w:val="21"/>
        </w:rPr>
        <w:t xml:space="preserve"> </w:t>
      </w:r>
      <w:r>
        <w:rPr>
          <w:rFonts w:ascii="Times New Roman" w:eastAsia="黑体"/>
          <w:bCs/>
          <w:szCs w:val="21"/>
        </w:rPr>
        <w:t xml:space="preserve">试验步骤 </w:t>
      </w:r>
    </w:p>
    <w:p>
      <w:pPr>
        <w:autoSpaceDE w:val="0"/>
        <w:autoSpaceDN w:val="0"/>
        <w:snapToGrid w:val="0"/>
        <w:spacing w:before="156" w:beforeLines="50" w:after="156" w:afterLines="50"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5.2.1</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 细胞建模 </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5.2.1.1 细胞复苏</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5.2.1.2 接种细胞于含10%胎牛血清且不含酚红的DMEM-F12（1：1）混合培养液中，每天观察细胞生长状态，稳定传2代后准备建模。</w:t>
      </w:r>
    </w:p>
    <w:p>
      <w:pPr>
        <w:autoSpaceDE w:val="0"/>
        <w:autoSpaceDN w:val="0"/>
        <w:snapToGrid w:val="0"/>
        <w:spacing w:before="156" w:beforeLines="50" w:after="156" w:afterLines="50" w:line="300" w:lineRule="auto"/>
        <w:ind w:firstLine="420" w:firstLineChars="200"/>
        <w:rPr>
          <w:color w:val="000000" w:themeColor="text1"/>
          <w:kern w:val="0"/>
          <w:szCs w:val="21"/>
          <w:highlight w:val="yellow"/>
          <w14:textFill>
            <w14:solidFill>
              <w14:schemeClr w14:val="tx1"/>
            </w14:solidFill>
          </w14:textFill>
        </w:rPr>
      </w:pPr>
      <w:r>
        <w:rPr>
          <w:color w:val="000000" w:themeColor="text1"/>
          <w:kern w:val="0"/>
          <w:szCs w:val="21"/>
          <w14:textFill>
            <w14:solidFill>
              <w14:schemeClr w14:val="tx1"/>
            </w14:solidFill>
          </w14:textFill>
        </w:rPr>
        <w:t>5.2.1.3 用胰酶-EDTA（0.05% w/v胰酶，0.02% w/v EDTA）消化细胞，收集细胞于离心管中，800～1000 rmp/min离心5 min，重新悬浮细胞于培养液中，调整细胞浓度为4×10</w:t>
      </w:r>
      <w:r>
        <w:rPr>
          <w:color w:val="000000" w:themeColor="text1"/>
          <w:kern w:val="0"/>
          <w:szCs w:val="21"/>
          <w:vertAlign w:val="superscript"/>
          <w14:textFill>
            <w14:solidFill>
              <w14:schemeClr w14:val="tx1"/>
            </w14:solidFill>
          </w14:textFill>
        </w:rPr>
        <w:t>5</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个</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5.2.1.4 取无菌24孔板每孔加入400 μL新鲜培养基，将嵌入型细胞培养皿transwell（嵌入型细胞培养皿厚度为80～150 μm，孔径约0.45μm）放入24孔板中，注意避免气泡。其中21个transwell内室中加入400μL 细胞悬液（终浓度约1.6×10</w:t>
      </w:r>
      <w:r>
        <w:rPr>
          <w:color w:val="000000" w:themeColor="text1"/>
          <w:kern w:val="0"/>
          <w:szCs w:val="21"/>
          <w:vertAlign w:val="superscript"/>
          <w14:textFill>
            <w14:solidFill>
              <w14:schemeClr w14:val="tx1"/>
            </w14:solidFill>
          </w14:textFill>
        </w:rPr>
        <w:t>5</w:t>
      </w:r>
      <w:r>
        <w:rPr>
          <w:color w:val="000000" w:themeColor="text1"/>
          <w:kern w:val="0"/>
          <w:szCs w:val="21"/>
          <w14:textFill>
            <w14:solidFill>
              <w14:schemeClr w14:val="tx1"/>
            </w14:solidFill>
          </w14:textFill>
        </w:rPr>
        <w:t>个/transwell），剩余3个transwell中加入同体积的培养液。将24孔板放入37 ℃ 5%CO</w:t>
      </w:r>
      <w:r>
        <w:rPr>
          <w:color w:val="000000" w:themeColor="text1"/>
          <w:kern w:val="0"/>
          <w:szCs w:val="21"/>
          <w:vertAlign w:val="subscript"/>
          <w14:textFill>
            <w14:solidFill>
              <w14:schemeClr w14:val="tx1"/>
            </w14:solidFill>
          </w14:textFill>
        </w:rPr>
        <w:t>2</w:t>
      </w:r>
      <w:r>
        <w:rPr>
          <w:color w:val="000000" w:themeColor="text1"/>
          <w:kern w:val="0"/>
          <w:szCs w:val="21"/>
          <w14:textFill>
            <w14:solidFill>
              <w14:schemeClr w14:val="tx1"/>
            </w14:solidFill>
          </w14:textFill>
        </w:rPr>
        <w:t>培养箱中培养96 h后，检测前一天transwell内外换新鲜培养液。</w:t>
      </w:r>
    </w:p>
    <w:p>
      <w:pPr>
        <w:autoSpaceDE w:val="0"/>
        <w:autoSpaceDN w:val="0"/>
        <w:snapToGrid w:val="0"/>
        <w:spacing w:before="156" w:beforeLines="50" w:after="156" w:afterLines="50"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5.2.2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染毒和清洗</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以400</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μL/孔预热至37 ℃的HBSS（无酚红）清洗transwell内室2遍。以200 μL/孔的受试物浓度梯度溶液进行染毒，染毒时间为1</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min，每个浓度做3个复孔，染毒后以400 μL/孔预热至37 ℃的HBSS（无酚红）清洗transwell内室2遍。同时空白对照、阴性对照和阳性对照做相应的处理。染毒图示见图1。</w:t>
      </w:r>
    </w:p>
    <w:p>
      <w:pPr>
        <w:spacing w:line="300" w:lineRule="auto"/>
        <w:ind w:leftChars="-67" w:hanging="140" w:hangingChars="67"/>
        <w:jc w:val="center"/>
        <w:rPr>
          <w:color w:val="000000" w:themeColor="text1"/>
          <w:szCs w:val="21"/>
          <w14:textFill>
            <w14:solidFill>
              <w14:schemeClr w14:val="tx1"/>
            </w14:solidFill>
          </w14:textFill>
        </w:rPr>
      </w:pPr>
    </w:p>
    <w:tbl>
      <w:tblPr>
        <w:tblStyle w:val="11"/>
        <w:tblW w:w="80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144"/>
        <w:gridCol w:w="1149"/>
        <w:gridCol w:w="1149"/>
        <w:gridCol w:w="1149"/>
        <w:gridCol w:w="1149"/>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144" w:type="dxa"/>
          </w:tcPr>
          <w:p>
            <w:pPr>
              <w:spacing w:line="300" w:lineRule="auto"/>
              <w:jc w:val="center"/>
              <w:rPr>
                <w:szCs w:val="21"/>
              </w:rPr>
            </w:pPr>
          </w:p>
        </w:tc>
        <w:tc>
          <w:tcPr>
            <w:tcW w:w="1144" w:type="dxa"/>
            <w:vAlign w:val="center"/>
          </w:tcPr>
          <w:p>
            <w:pPr>
              <w:spacing w:line="300" w:lineRule="auto"/>
              <w:jc w:val="center"/>
              <w:rPr>
                <w:szCs w:val="21"/>
              </w:rPr>
            </w:pPr>
            <w:r>
              <w:rPr>
                <w:szCs w:val="21"/>
              </w:rPr>
              <w:t>1</w:t>
            </w:r>
          </w:p>
        </w:tc>
        <w:tc>
          <w:tcPr>
            <w:tcW w:w="1149" w:type="dxa"/>
            <w:vAlign w:val="center"/>
          </w:tcPr>
          <w:p>
            <w:pPr>
              <w:spacing w:line="300" w:lineRule="auto"/>
              <w:jc w:val="center"/>
              <w:rPr>
                <w:szCs w:val="21"/>
              </w:rPr>
            </w:pPr>
            <w:r>
              <w:rPr>
                <w:szCs w:val="21"/>
              </w:rPr>
              <w:t>2</w:t>
            </w:r>
          </w:p>
        </w:tc>
        <w:tc>
          <w:tcPr>
            <w:tcW w:w="1149" w:type="dxa"/>
            <w:vAlign w:val="center"/>
          </w:tcPr>
          <w:p>
            <w:pPr>
              <w:spacing w:line="300" w:lineRule="auto"/>
              <w:jc w:val="center"/>
              <w:rPr>
                <w:szCs w:val="21"/>
              </w:rPr>
            </w:pPr>
            <w:r>
              <w:rPr>
                <w:szCs w:val="21"/>
              </w:rPr>
              <w:t>3</w:t>
            </w:r>
          </w:p>
        </w:tc>
        <w:tc>
          <w:tcPr>
            <w:tcW w:w="1149" w:type="dxa"/>
            <w:vAlign w:val="center"/>
          </w:tcPr>
          <w:p>
            <w:pPr>
              <w:spacing w:line="300" w:lineRule="auto"/>
              <w:jc w:val="center"/>
              <w:rPr>
                <w:szCs w:val="21"/>
              </w:rPr>
            </w:pPr>
            <w:r>
              <w:rPr>
                <w:szCs w:val="21"/>
              </w:rPr>
              <w:t>4</w:t>
            </w:r>
          </w:p>
        </w:tc>
        <w:tc>
          <w:tcPr>
            <w:tcW w:w="1149" w:type="dxa"/>
            <w:vAlign w:val="center"/>
          </w:tcPr>
          <w:p>
            <w:pPr>
              <w:spacing w:line="300" w:lineRule="auto"/>
              <w:jc w:val="center"/>
              <w:rPr>
                <w:szCs w:val="21"/>
              </w:rPr>
            </w:pPr>
            <w:r>
              <w:rPr>
                <w:szCs w:val="21"/>
              </w:rPr>
              <w:t>5</w:t>
            </w:r>
          </w:p>
        </w:tc>
        <w:tc>
          <w:tcPr>
            <w:tcW w:w="1149" w:type="dxa"/>
            <w:vAlign w:val="center"/>
          </w:tcPr>
          <w:p>
            <w:pPr>
              <w:spacing w:line="300" w:lineRule="auto"/>
              <w:jc w:val="center"/>
              <w:rPr>
                <w:szCs w:val="21"/>
              </w:rPr>
            </w:pPr>
            <w:r>
              <w:rPr>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144" w:type="dxa"/>
          </w:tcPr>
          <w:p>
            <w:pPr>
              <w:spacing w:line="300" w:lineRule="auto"/>
              <w:jc w:val="center"/>
              <w:rPr>
                <w:szCs w:val="21"/>
              </w:rPr>
            </w:pPr>
            <w:r>
              <w:rPr>
                <w:szCs w:val="21"/>
              </w:rPr>
              <w:t>A</w:t>
            </w:r>
          </w:p>
        </w:tc>
        <w:tc>
          <w:tcPr>
            <w:tcW w:w="1144" w:type="dxa"/>
            <w:vAlign w:val="center"/>
          </w:tcPr>
          <w:p>
            <w:pPr>
              <w:spacing w:line="300" w:lineRule="auto"/>
              <w:jc w:val="center"/>
              <w:rPr>
                <w:szCs w:val="21"/>
              </w:rPr>
            </w:pPr>
            <w:r>
              <w:rPr>
                <w:szCs w:val="21"/>
              </w:rPr>
              <w:t>M</w:t>
            </w:r>
          </w:p>
        </w:tc>
        <w:tc>
          <w:tcPr>
            <w:tcW w:w="1149" w:type="dxa"/>
            <w:vAlign w:val="center"/>
          </w:tcPr>
          <w:p>
            <w:pPr>
              <w:spacing w:line="300" w:lineRule="auto"/>
              <w:jc w:val="center"/>
              <w:rPr>
                <w:szCs w:val="21"/>
              </w:rPr>
            </w:pPr>
            <w:r>
              <w:rPr>
                <w:szCs w:val="21"/>
              </w:rPr>
              <w:t>M</w:t>
            </w:r>
          </w:p>
        </w:tc>
        <w:tc>
          <w:tcPr>
            <w:tcW w:w="1149" w:type="dxa"/>
            <w:vAlign w:val="center"/>
          </w:tcPr>
          <w:p>
            <w:pPr>
              <w:spacing w:line="300" w:lineRule="auto"/>
              <w:jc w:val="center"/>
              <w:rPr>
                <w:szCs w:val="21"/>
              </w:rPr>
            </w:pPr>
            <w:r>
              <w:rPr>
                <w:szCs w:val="21"/>
              </w:rPr>
              <w:t>M</w:t>
            </w:r>
          </w:p>
        </w:tc>
        <w:tc>
          <w:tcPr>
            <w:tcW w:w="1149" w:type="dxa"/>
            <w:vAlign w:val="center"/>
          </w:tcPr>
          <w:p>
            <w:pPr>
              <w:spacing w:line="300" w:lineRule="auto"/>
              <w:jc w:val="center"/>
              <w:rPr>
                <w:szCs w:val="21"/>
              </w:rPr>
            </w:pPr>
            <w:r>
              <w:rPr>
                <w:szCs w:val="21"/>
              </w:rPr>
              <w:t>B</w:t>
            </w:r>
          </w:p>
        </w:tc>
        <w:tc>
          <w:tcPr>
            <w:tcW w:w="1149" w:type="dxa"/>
            <w:vAlign w:val="center"/>
          </w:tcPr>
          <w:p>
            <w:pPr>
              <w:spacing w:line="300" w:lineRule="auto"/>
              <w:jc w:val="center"/>
              <w:rPr>
                <w:szCs w:val="21"/>
              </w:rPr>
            </w:pPr>
            <w:r>
              <w:rPr>
                <w:szCs w:val="21"/>
              </w:rPr>
              <w:t>B</w:t>
            </w:r>
          </w:p>
        </w:tc>
        <w:tc>
          <w:tcPr>
            <w:tcW w:w="1149" w:type="dxa"/>
            <w:vAlign w:val="center"/>
          </w:tcPr>
          <w:p>
            <w:pPr>
              <w:spacing w:line="300" w:lineRule="auto"/>
              <w:jc w:val="center"/>
              <w:rPr>
                <w:szCs w:val="21"/>
              </w:rPr>
            </w:pPr>
            <w:r>
              <w:rPr>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144" w:type="dxa"/>
          </w:tcPr>
          <w:p>
            <w:pPr>
              <w:spacing w:line="300" w:lineRule="auto"/>
              <w:jc w:val="center"/>
              <w:rPr>
                <w:szCs w:val="21"/>
              </w:rPr>
            </w:pPr>
            <w:r>
              <w:rPr>
                <w:szCs w:val="21"/>
              </w:rPr>
              <w:t>B</w:t>
            </w:r>
          </w:p>
        </w:tc>
        <w:tc>
          <w:tcPr>
            <w:tcW w:w="1144" w:type="dxa"/>
            <w:vAlign w:val="center"/>
          </w:tcPr>
          <w:p>
            <w:pPr>
              <w:spacing w:line="300" w:lineRule="auto"/>
              <w:jc w:val="center"/>
              <w:rPr>
                <w:szCs w:val="21"/>
              </w:rPr>
            </w:pPr>
            <w:r>
              <w:rPr>
                <w:szCs w:val="21"/>
              </w:rPr>
              <w:t>P</w:t>
            </w:r>
          </w:p>
        </w:tc>
        <w:tc>
          <w:tcPr>
            <w:tcW w:w="1149" w:type="dxa"/>
            <w:vAlign w:val="center"/>
          </w:tcPr>
          <w:p>
            <w:pPr>
              <w:spacing w:line="300" w:lineRule="auto"/>
              <w:jc w:val="center"/>
              <w:rPr>
                <w:szCs w:val="21"/>
              </w:rPr>
            </w:pPr>
            <w:r>
              <w:rPr>
                <w:szCs w:val="21"/>
              </w:rPr>
              <w:t>P</w:t>
            </w:r>
          </w:p>
        </w:tc>
        <w:tc>
          <w:tcPr>
            <w:tcW w:w="1149" w:type="dxa"/>
            <w:vAlign w:val="center"/>
          </w:tcPr>
          <w:p>
            <w:pPr>
              <w:spacing w:line="300" w:lineRule="auto"/>
              <w:jc w:val="center"/>
              <w:rPr>
                <w:szCs w:val="21"/>
              </w:rPr>
            </w:pPr>
            <w:r>
              <w:rPr>
                <w:szCs w:val="21"/>
              </w:rPr>
              <w:t>P</w:t>
            </w:r>
          </w:p>
        </w:tc>
        <w:tc>
          <w:tcPr>
            <w:tcW w:w="1149" w:type="dxa"/>
            <w:vAlign w:val="center"/>
          </w:tcPr>
          <w:p>
            <w:pPr>
              <w:spacing w:line="300" w:lineRule="auto"/>
              <w:jc w:val="center"/>
              <w:rPr>
                <w:szCs w:val="21"/>
              </w:rPr>
            </w:pPr>
            <w:r>
              <w:rPr>
                <w:szCs w:val="21"/>
              </w:rPr>
              <w:t>T1</w:t>
            </w:r>
          </w:p>
        </w:tc>
        <w:tc>
          <w:tcPr>
            <w:tcW w:w="1149" w:type="dxa"/>
            <w:vAlign w:val="center"/>
          </w:tcPr>
          <w:p>
            <w:pPr>
              <w:spacing w:line="300" w:lineRule="auto"/>
              <w:jc w:val="center"/>
              <w:rPr>
                <w:szCs w:val="21"/>
              </w:rPr>
            </w:pPr>
            <w:r>
              <w:rPr>
                <w:szCs w:val="21"/>
              </w:rPr>
              <w:t>T1</w:t>
            </w:r>
          </w:p>
        </w:tc>
        <w:tc>
          <w:tcPr>
            <w:tcW w:w="1149" w:type="dxa"/>
            <w:vAlign w:val="center"/>
          </w:tcPr>
          <w:p>
            <w:pPr>
              <w:spacing w:line="300" w:lineRule="auto"/>
              <w:jc w:val="center"/>
              <w:rPr>
                <w:szCs w:val="21"/>
              </w:rPr>
            </w:pPr>
            <w:r>
              <w:rPr>
                <w:szCs w:val="21"/>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144" w:type="dxa"/>
          </w:tcPr>
          <w:p>
            <w:pPr>
              <w:spacing w:line="300" w:lineRule="auto"/>
              <w:jc w:val="center"/>
              <w:rPr>
                <w:szCs w:val="21"/>
              </w:rPr>
            </w:pPr>
            <w:r>
              <w:rPr>
                <w:szCs w:val="21"/>
              </w:rPr>
              <w:t>C</w:t>
            </w:r>
          </w:p>
        </w:tc>
        <w:tc>
          <w:tcPr>
            <w:tcW w:w="1144" w:type="dxa"/>
            <w:vAlign w:val="center"/>
          </w:tcPr>
          <w:p>
            <w:pPr>
              <w:spacing w:line="300" w:lineRule="auto"/>
              <w:jc w:val="center"/>
              <w:rPr>
                <w:szCs w:val="21"/>
              </w:rPr>
            </w:pPr>
            <w:r>
              <w:rPr>
                <w:szCs w:val="21"/>
              </w:rPr>
              <w:t>T2</w:t>
            </w:r>
          </w:p>
        </w:tc>
        <w:tc>
          <w:tcPr>
            <w:tcW w:w="1149" w:type="dxa"/>
            <w:vAlign w:val="center"/>
          </w:tcPr>
          <w:p>
            <w:pPr>
              <w:spacing w:line="300" w:lineRule="auto"/>
              <w:jc w:val="center"/>
              <w:rPr>
                <w:szCs w:val="21"/>
              </w:rPr>
            </w:pPr>
            <w:r>
              <w:rPr>
                <w:szCs w:val="21"/>
              </w:rPr>
              <w:t>T2</w:t>
            </w:r>
          </w:p>
        </w:tc>
        <w:tc>
          <w:tcPr>
            <w:tcW w:w="1149" w:type="dxa"/>
            <w:vAlign w:val="center"/>
          </w:tcPr>
          <w:p>
            <w:pPr>
              <w:spacing w:line="300" w:lineRule="auto"/>
              <w:jc w:val="center"/>
              <w:rPr>
                <w:szCs w:val="21"/>
              </w:rPr>
            </w:pPr>
            <w:r>
              <w:rPr>
                <w:szCs w:val="21"/>
              </w:rPr>
              <w:t>T2</w:t>
            </w:r>
          </w:p>
        </w:tc>
        <w:tc>
          <w:tcPr>
            <w:tcW w:w="1149" w:type="dxa"/>
            <w:vAlign w:val="center"/>
          </w:tcPr>
          <w:p>
            <w:pPr>
              <w:spacing w:line="300" w:lineRule="auto"/>
              <w:jc w:val="center"/>
              <w:rPr>
                <w:szCs w:val="21"/>
              </w:rPr>
            </w:pPr>
            <w:r>
              <w:rPr>
                <w:szCs w:val="21"/>
              </w:rPr>
              <w:t>T3</w:t>
            </w:r>
          </w:p>
        </w:tc>
        <w:tc>
          <w:tcPr>
            <w:tcW w:w="1149" w:type="dxa"/>
            <w:vAlign w:val="center"/>
          </w:tcPr>
          <w:p>
            <w:pPr>
              <w:spacing w:line="300" w:lineRule="auto"/>
              <w:jc w:val="center"/>
              <w:rPr>
                <w:szCs w:val="21"/>
              </w:rPr>
            </w:pPr>
            <w:r>
              <w:rPr>
                <w:szCs w:val="21"/>
              </w:rPr>
              <w:t>T3</w:t>
            </w:r>
          </w:p>
        </w:tc>
        <w:tc>
          <w:tcPr>
            <w:tcW w:w="1149" w:type="dxa"/>
            <w:vAlign w:val="center"/>
          </w:tcPr>
          <w:p>
            <w:pPr>
              <w:spacing w:line="300" w:lineRule="auto"/>
              <w:jc w:val="center"/>
              <w:rPr>
                <w:szCs w:val="21"/>
              </w:rPr>
            </w:pPr>
            <w:r>
              <w:rPr>
                <w:szCs w:val="21"/>
              </w:rPr>
              <w:t>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9" w:hRule="atLeast"/>
          <w:jc w:val="center"/>
        </w:trPr>
        <w:tc>
          <w:tcPr>
            <w:tcW w:w="1144" w:type="dxa"/>
          </w:tcPr>
          <w:p>
            <w:pPr>
              <w:spacing w:line="300" w:lineRule="auto"/>
              <w:jc w:val="center"/>
              <w:rPr>
                <w:szCs w:val="21"/>
              </w:rPr>
            </w:pPr>
            <w:r>
              <w:rPr>
                <w:szCs w:val="21"/>
              </w:rPr>
              <w:t>D</w:t>
            </w:r>
          </w:p>
        </w:tc>
        <w:tc>
          <w:tcPr>
            <w:tcW w:w="1144" w:type="dxa"/>
            <w:vAlign w:val="center"/>
          </w:tcPr>
          <w:p>
            <w:pPr>
              <w:spacing w:line="300" w:lineRule="auto"/>
              <w:jc w:val="center"/>
              <w:rPr>
                <w:szCs w:val="21"/>
              </w:rPr>
            </w:pPr>
            <w:r>
              <w:rPr>
                <w:szCs w:val="21"/>
              </w:rPr>
              <w:t>T4</w:t>
            </w:r>
          </w:p>
        </w:tc>
        <w:tc>
          <w:tcPr>
            <w:tcW w:w="1149" w:type="dxa"/>
            <w:vAlign w:val="center"/>
          </w:tcPr>
          <w:p>
            <w:pPr>
              <w:spacing w:line="300" w:lineRule="auto"/>
              <w:jc w:val="center"/>
              <w:rPr>
                <w:szCs w:val="21"/>
              </w:rPr>
            </w:pPr>
            <w:r>
              <w:rPr>
                <w:szCs w:val="21"/>
              </w:rPr>
              <w:t>T4</w:t>
            </w:r>
          </w:p>
        </w:tc>
        <w:tc>
          <w:tcPr>
            <w:tcW w:w="1149" w:type="dxa"/>
            <w:vAlign w:val="center"/>
          </w:tcPr>
          <w:p>
            <w:pPr>
              <w:spacing w:line="300" w:lineRule="auto"/>
              <w:jc w:val="center"/>
              <w:rPr>
                <w:szCs w:val="21"/>
              </w:rPr>
            </w:pPr>
            <w:r>
              <w:rPr>
                <w:szCs w:val="21"/>
              </w:rPr>
              <w:t>T4</w:t>
            </w:r>
          </w:p>
        </w:tc>
        <w:tc>
          <w:tcPr>
            <w:tcW w:w="1149" w:type="dxa"/>
            <w:vAlign w:val="center"/>
          </w:tcPr>
          <w:p>
            <w:pPr>
              <w:spacing w:line="300" w:lineRule="auto"/>
              <w:jc w:val="center"/>
              <w:rPr>
                <w:szCs w:val="21"/>
              </w:rPr>
            </w:pPr>
            <w:r>
              <w:rPr>
                <w:szCs w:val="21"/>
              </w:rPr>
              <w:t>T5</w:t>
            </w:r>
          </w:p>
        </w:tc>
        <w:tc>
          <w:tcPr>
            <w:tcW w:w="1149" w:type="dxa"/>
            <w:vAlign w:val="center"/>
          </w:tcPr>
          <w:p>
            <w:pPr>
              <w:spacing w:line="300" w:lineRule="auto"/>
              <w:jc w:val="center"/>
              <w:rPr>
                <w:szCs w:val="21"/>
              </w:rPr>
            </w:pPr>
            <w:r>
              <w:rPr>
                <w:szCs w:val="21"/>
              </w:rPr>
              <w:t>T5</w:t>
            </w:r>
          </w:p>
        </w:tc>
        <w:tc>
          <w:tcPr>
            <w:tcW w:w="1149" w:type="dxa"/>
            <w:vAlign w:val="center"/>
          </w:tcPr>
          <w:p>
            <w:pPr>
              <w:spacing w:line="300" w:lineRule="auto"/>
              <w:jc w:val="center"/>
              <w:rPr>
                <w:szCs w:val="21"/>
              </w:rPr>
            </w:pPr>
            <w:r>
              <w:rPr>
                <w:szCs w:val="21"/>
              </w:rPr>
              <w:t>T5</w:t>
            </w:r>
          </w:p>
        </w:tc>
      </w:tr>
    </w:tbl>
    <w:p>
      <w:pPr>
        <w:snapToGrid w:val="0"/>
        <w:spacing w:before="156" w:beforeLines="50" w:after="156" w:afterLines="50" w:line="300"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图1样品染毒示意图</w:t>
      </w:r>
    </w:p>
    <w:p>
      <w:pPr>
        <w:snapToGrid w:val="0"/>
        <w:spacing w:before="50" w:after="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注：M：仅有transwell，不加细胞</w:t>
      </w:r>
    </w:p>
    <w:p>
      <w:pPr>
        <w:snapToGrid w:val="0"/>
        <w:spacing w:before="50" w:after="50" w:line="300" w:lineRule="auto"/>
        <w:ind w:firstLine="840" w:firstLineChars="4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B：种了细胞的transwell，加阴性对照（不含酚红的HBSS）</w:t>
      </w:r>
    </w:p>
    <w:p>
      <w:pPr>
        <w:snapToGrid w:val="0"/>
        <w:spacing w:before="50" w:after="50" w:line="300" w:lineRule="auto"/>
        <w:ind w:firstLine="840" w:firstLineChars="4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P：种了细胞的transwell，加阳性对照（100 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 xml:space="preserve"> Brij-35溶液）</w:t>
      </w:r>
    </w:p>
    <w:p>
      <w:pPr>
        <w:snapToGrid w:val="0"/>
        <w:spacing w:before="50" w:after="50" w:line="300" w:lineRule="auto"/>
        <w:ind w:firstLine="840" w:firstLineChars="4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T1-T5：种了细胞的transwell，加配制好的受试物浓度梯度工作液，T1代表最低浓度，T5代表最高浓度</w:t>
      </w:r>
    </w:p>
    <w:p>
      <w:pPr>
        <w:autoSpaceDE w:val="0"/>
        <w:autoSpaceDN w:val="0"/>
        <w:snapToGrid w:val="0"/>
        <w:spacing w:before="156" w:beforeLines="50" w:after="156" w:afterLines="50"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5.2.3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荧光素渗漏率测定及计算</w:t>
      </w:r>
    </w:p>
    <w:p>
      <w:pPr>
        <w:autoSpaceDE w:val="0"/>
        <w:autoSpaceDN w:val="0"/>
        <w:snapToGrid w:val="0"/>
        <w:spacing w:before="50" w:after="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5.2.3.1 荧光素渗漏率测定：取新的24孔板，每孔中加入400 μL HBSS（无酚红）溶液，将上述清洗后的transwell对应放入新的24孔板中，transwell</w:t>
      </w:r>
      <w:bookmarkStart w:id="2" w:name="OLE_LINK10"/>
      <w:bookmarkStart w:id="3" w:name="OLE_LINK11"/>
      <w:r>
        <w:rPr>
          <w:color w:val="000000" w:themeColor="text1"/>
          <w:kern w:val="0"/>
          <w:szCs w:val="21"/>
          <w14:textFill>
            <w14:solidFill>
              <w14:schemeClr w14:val="tx1"/>
            </w14:solidFill>
          </w14:textFill>
        </w:rPr>
        <w:t>内室加入400</w:t>
      </w:r>
      <w:bookmarkEnd w:id="2"/>
      <w:bookmarkEnd w:id="3"/>
      <w:r>
        <w:rPr>
          <w:color w:val="000000" w:themeColor="text1"/>
          <w:kern w:val="0"/>
          <w:szCs w:val="21"/>
          <w14:textFill>
            <w14:solidFill>
              <w14:schemeClr w14:val="tx1"/>
            </w14:solidFill>
          </w14:textFill>
        </w:rPr>
        <w:t xml:space="preserve"> μL 0.01%荧光素钠溶液，注意避免荧光素钠溶液直接进入transwell室外的孔中，室温避光静置30 min，然后从24孔板中移除transwell，移除时需避免transwell内室中多余的荧光素钠溶液进入24孔板。在多功能酶标仪中测定荧光强度(激发波长485 nm，发射波长530 nm)。根据荧光强度计算荧光素渗漏率FL（%）。</w:t>
      </w:r>
    </w:p>
    <w:p>
      <w:pPr>
        <w:spacing w:line="300" w:lineRule="auto"/>
        <w:ind w:firstLine="420"/>
        <w:jc w:val="center"/>
        <w:rPr>
          <w:color w:val="000000" w:themeColor="text1"/>
          <w:szCs w:val="21"/>
          <w14:textFill>
            <w14:solidFill>
              <w14:schemeClr w14:val="tx1"/>
            </w14:solidFill>
          </w14:textFill>
        </w:rPr>
      </w:pPr>
      <m:oMathPara>
        <m:oMathParaPr>
          <m:jc m:val="center"/>
        </m:oMathParaPr>
        <m:oMath>
          <m:r>
            <m:rPr>
              <m:nor/>
              <m:sty m:val="p"/>
            </m:rPr>
            <w:rPr>
              <w:rFonts w:ascii="Cambria Math" w:hAnsi="Cambria Math"/>
              <w:color w:val="000000" w:themeColor="text1"/>
              <w:kern w:val="0"/>
              <w:szCs w:val="21"/>
              <w14:textFill>
                <w14:solidFill>
                  <w14:schemeClr w14:val="tx1"/>
                </w14:solidFill>
              </w14:textFill>
            </w:rPr>
            <m:t>荧光素渗漏率FL</m:t>
          </m:r>
          <m:d>
            <m:dPr>
              <m:begChr m:val="（"/>
              <m:endChr m:val="）"/>
              <m:ctrlPr>
                <w:rPr>
                  <w:rFonts w:ascii="Cambria Math" w:hAnsi="Cambria Math"/>
                  <w:color w:val="000000" w:themeColor="text1"/>
                  <w:kern w:val="0"/>
                  <w:szCs w:val="21"/>
                  <w14:textFill>
                    <w14:solidFill>
                      <w14:schemeClr w14:val="tx1"/>
                    </w14:solidFill>
                  </w14:textFill>
                </w:rPr>
              </m:ctrlPr>
            </m:dPr>
            <m:e>
              <m:r>
                <m:rPr>
                  <m:nor/>
                  <m:sty m:val="p"/>
                </m:rPr>
                <w:rPr>
                  <w:rFonts w:ascii="Cambria Math" w:hAnsi="Cambria Math"/>
                  <w:color w:val="000000" w:themeColor="text1"/>
                  <w:kern w:val="0"/>
                  <w:szCs w:val="21"/>
                  <w14:textFill>
                    <w14:solidFill>
                      <w14:schemeClr w14:val="tx1"/>
                    </w14:solidFill>
                  </w14:textFill>
                </w:rPr>
                <m:t>%</m:t>
              </m:r>
              <m:ctrlPr>
                <w:rPr>
                  <w:rFonts w:ascii="Cambria Math" w:hAnsi="Cambria Math"/>
                  <w:color w:val="000000" w:themeColor="text1"/>
                  <w:kern w:val="0"/>
                  <w:szCs w:val="21"/>
                  <w14:textFill>
                    <w14:solidFill>
                      <w14:schemeClr w14:val="tx1"/>
                    </w14:solidFill>
                  </w14:textFill>
                </w:rPr>
              </m:ctrlPr>
            </m:e>
          </m:d>
          <m:r>
            <m:rPr>
              <m:nor/>
              <m:sty m:val="p"/>
            </m:rPr>
            <w:rPr>
              <w:rFonts w:ascii="Cambria Math" w:hAnsi="Cambria Math"/>
              <w:color w:val="000000" w:themeColor="text1"/>
              <w:kern w:val="0"/>
              <w:szCs w:val="21"/>
              <w14:textFill>
                <w14:solidFill>
                  <w14:schemeClr w14:val="tx1"/>
                </w14:solidFill>
              </w14:textFill>
            </w:rPr>
            <m:t>=</m:t>
          </m:r>
          <m:f>
            <m:fPr>
              <m:ctrlPr>
                <w:rPr>
                  <w:rFonts w:ascii="Cambria Math" w:hAnsi="Cambria Math"/>
                  <w:color w:val="000000" w:themeColor="text1"/>
                  <w:kern w:val="0"/>
                  <w:szCs w:val="21"/>
                  <w14:textFill>
                    <w14:solidFill>
                      <w14:schemeClr w14:val="tx1"/>
                    </w14:solidFill>
                  </w14:textFill>
                </w:rPr>
              </m:ctrlPr>
            </m:fPr>
            <m:num>
              <m:r>
                <m:rPr>
                  <m:nor/>
                  <m:sty m:val="p"/>
                </m:rPr>
                <w:rPr>
                  <w:rFonts w:ascii="Cambria Math" w:hAnsi="Cambria Math"/>
                  <w:color w:val="000000" w:themeColor="text1"/>
                  <w:szCs w:val="21"/>
                  <w14:textFill>
                    <w14:solidFill>
                      <w14:schemeClr w14:val="tx1"/>
                    </w14:solidFill>
                  </w14:textFill>
                </w:rPr>
                <m:t>m-y</m:t>
              </m:r>
              <m:ctrlPr>
                <w:rPr>
                  <w:rFonts w:ascii="Cambria Math" w:hAnsi="Cambria Math"/>
                  <w:color w:val="000000" w:themeColor="text1"/>
                  <w:kern w:val="0"/>
                  <w:szCs w:val="21"/>
                  <w14:textFill>
                    <w14:solidFill>
                      <w14:schemeClr w14:val="tx1"/>
                    </w14:solidFill>
                  </w14:textFill>
                </w:rPr>
              </m:ctrlPr>
            </m:num>
            <m:den>
              <m:r>
                <m:rPr>
                  <m:nor/>
                  <m:sty m:val="p"/>
                </m:rPr>
                <w:rPr>
                  <w:rFonts w:ascii="Cambria Math" w:hAnsi="Cambria Math"/>
                  <w:color w:val="000000" w:themeColor="text1"/>
                  <w:szCs w:val="21"/>
                  <w14:textFill>
                    <w14:solidFill>
                      <w14:schemeClr w14:val="tx1"/>
                    </w14:solidFill>
                  </w14:textFill>
                </w:rPr>
                <m:t>x-y</m:t>
              </m:r>
              <m:ctrlPr>
                <w:rPr>
                  <w:rFonts w:ascii="Cambria Math" w:hAnsi="Cambria Math"/>
                  <w:color w:val="000000" w:themeColor="text1"/>
                  <w:kern w:val="0"/>
                  <w:szCs w:val="21"/>
                  <w14:textFill>
                    <w14:solidFill>
                      <w14:schemeClr w14:val="tx1"/>
                    </w14:solidFill>
                  </w14:textFill>
                </w:rPr>
              </m:ctrlPr>
            </m:den>
          </m:f>
          <m:r>
            <m:rPr>
              <m:nor/>
              <m:sty m:val="p"/>
            </m:rPr>
            <w:rPr>
              <w:rFonts w:ascii="Cambria Math" w:hAnsi="Cambria Math"/>
              <w:color w:val="000000" w:themeColor="text1"/>
              <w:kern w:val="0"/>
              <w:szCs w:val="21"/>
              <w14:textFill>
                <w14:solidFill>
                  <w14:schemeClr w14:val="tx1"/>
                </w14:solidFill>
              </w14:textFill>
            </w:rPr>
            <m:t>×100%</m:t>
          </m:r>
        </m:oMath>
      </m:oMathPara>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其中：m：三个重复测量的平均荧光强度；</w:t>
      </w:r>
    </w:p>
    <w:p>
      <w:pPr>
        <w:autoSpaceDE w:val="0"/>
        <w:autoSpaceDN w:val="0"/>
        <w:snapToGrid w:val="0"/>
        <w:spacing w:before="156" w:beforeLines="50" w:after="156" w:afterLines="50" w:line="300" w:lineRule="auto"/>
        <w:ind w:firstLine="1050" w:firstLineChars="5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x：最大荧光素渗漏的平均荧光强度（M组）；</w:t>
      </w:r>
    </w:p>
    <w:p>
      <w:pPr>
        <w:autoSpaceDE w:val="0"/>
        <w:autoSpaceDN w:val="0"/>
        <w:snapToGrid w:val="0"/>
        <w:spacing w:before="156" w:beforeLines="50" w:after="156" w:afterLines="50" w:line="300" w:lineRule="auto"/>
        <w:ind w:firstLine="1050" w:firstLineChars="5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y：0%荧光素渗漏的平均荧光强度（B组）。</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5.2.3.2  FL</w:t>
      </w:r>
      <w:r>
        <w:rPr>
          <w:color w:val="000000" w:themeColor="text1"/>
          <w:kern w:val="0"/>
          <w:szCs w:val="21"/>
          <w:vertAlign w:val="subscript"/>
          <w14:textFill>
            <w14:solidFill>
              <w14:schemeClr w14:val="tx1"/>
            </w14:solidFill>
          </w14:textFill>
        </w:rPr>
        <w:t>20</w:t>
      </w:r>
      <w:r>
        <w:rPr>
          <w:color w:val="000000" w:themeColor="text1"/>
          <w:kern w:val="0"/>
          <w:szCs w:val="21"/>
          <w14:textFill>
            <w14:solidFill>
              <w14:schemeClr w14:val="tx1"/>
            </w14:solidFill>
          </w14:textFill>
        </w:rPr>
        <w:t>计算：根据受试物各浓度FL的结果，计算FL</w:t>
      </w:r>
      <w:r>
        <w:rPr>
          <w:color w:val="000000" w:themeColor="text1"/>
          <w:kern w:val="0"/>
          <w:szCs w:val="21"/>
          <w:vertAlign w:val="subscript"/>
          <w14:textFill>
            <w14:solidFill>
              <w14:schemeClr w14:val="tx1"/>
            </w14:solidFill>
          </w14:textFill>
        </w:rPr>
        <w:t>20</w:t>
      </w:r>
      <w:r>
        <w:rPr>
          <w:color w:val="000000" w:themeColor="text1"/>
          <w:kern w:val="0"/>
          <w:szCs w:val="21"/>
          <w14:textFill>
            <w14:solidFill>
              <w14:schemeClr w14:val="tx1"/>
            </w14:solidFill>
          </w14:textFill>
        </w:rPr>
        <w:t>。</w:t>
      </w:r>
    </w:p>
    <w:p>
      <w:pPr>
        <w:autoSpaceDE w:val="0"/>
        <w:autoSpaceDN w:val="0"/>
        <w:spacing w:line="300" w:lineRule="auto"/>
        <w:ind w:firstLine="420" w:firstLineChars="200"/>
        <w:rPr>
          <w:color w:val="000000" w:themeColor="text1"/>
          <w:kern w:val="0"/>
          <w:szCs w:val="21"/>
          <w14:textFill>
            <w14:solidFill>
              <w14:schemeClr w14:val="tx1"/>
            </w14:solidFill>
          </w14:textFill>
        </w:rPr>
      </w:pPr>
      <m:oMathPara>
        <m:oMathParaPr>
          <m:jc m:val="center"/>
        </m:oMathParaPr>
        <m:oMath>
          <m:sSub>
            <m:sSubPr>
              <m:ctrlPr>
                <w:rPr>
                  <w:rFonts w:ascii="Cambria Math" w:hAnsi="Cambria Math"/>
                  <w:i/>
                  <w:color w:val="000000" w:themeColor="text1"/>
                  <w:kern w:val="0"/>
                  <w:szCs w:val="21"/>
                  <w14:textFill>
                    <w14:solidFill>
                      <w14:schemeClr w14:val="tx1"/>
                    </w14:solidFill>
                  </w14:textFill>
                </w:rPr>
              </m:ctrlPr>
            </m:sSubPr>
            <m:e>
              <m:r>
                <m:rPr>
                  <m:sty m:val="p"/>
                </m:rPr>
                <w:rPr>
                  <w:rFonts w:ascii="Cambria Math" w:hAnsi="Cambria Math"/>
                  <w:color w:val="000000" w:themeColor="text1"/>
                  <w:kern w:val="0"/>
                  <w:szCs w:val="21"/>
                  <w14:textFill>
                    <w14:solidFill>
                      <w14:schemeClr w14:val="tx1"/>
                    </w14:solidFill>
                  </w14:textFill>
                </w:rPr>
                <m:t>FL</m:t>
              </m:r>
              <m:ctrlPr>
                <w:rPr>
                  <w:rFonts w:ascii="Cambria Math" w:hAnsi="Cambria Math"/>
                  <w:i/>
                  <w:color w:val="000000" w:themeColor="text1"/>
                  <w:kern w:val="0"/>
                  <w:szCs w:val="21"/>
                  <w14:textFill>
                    <w14:solidFill>
                      <w14:schemeClr w14:val="tx1"/>
                    </w14:solidFill>
                  </w14:textFill>
                </w:rPr>
              </m:ctrlPr>
            </m:e>
            <m:sub>
              <m:r>
                <w:rPr>
                  <w:rFonts w:ascii="Cambria Math" w:hAnsi="Cambria Math"/>
                  <w:color w:val="000000" w:themeColor="text1"/>
                  <w:kern w:val="0"/>
                  <w:szCs w:val="21"/>
                  <w14:textFill>
                    <w14:solidFill>
                      <w14:schemeClr w14:val="tx1"/>
                    </w14:solidFill>
                  </w14:textFill>
                </w:rPr>
                <m:t>20</m:t>
              </m:r>
              <m:ctrlPr>
                <w:rPr>
                  <w:rFonts w:ascii="Cambria Math" w:hAnsi="Cambria Math"/>
                  <w:i/>
                  <w:color w:val="000000" w:themeColor="text1"/>
                  <w:kern w:val="0"/>
                  <w:szCs w:val="21"/>
                  <w14:textFill>
                    <w14:solidFill>
                      <w14:schemeClr w14:val="tx1"/>
                    </w14:solidFill>
                  </w14:textFill>
                </w:rPr>
              </m:ctrlPr>
            </m:sub>
          </m:sSub>
          <m:d>
            <m:dPr>
              <m:begChr m:val="（"/>
              <m:endChr m:val="）"/>
              <m:ctrlPr>
                <w:rPr>
                  <w:rFonts w:ascii="Cambria Math" w:hAnsi="Cambria Math"/>
                  <w:color w:val="000000" w:themeColor="text1"/>
                  <w:kern w:val="0"/>
                  <w:szCs w:val="21"/>
                  <w14:textFill>
                    <w14:solidFill>
                      <w14:schemeClr w14:val="tx1"/>
                    </w14:solidFill>
                  </w14:textFill>
                </w:rPr>
              </m:ctrlPr>
            </m:dPr>
            <m:e>
              <m:r>
                <m:rPr>
                  <m:nor/>
                  <m:sty m:val="p"/>
                </m:rPr>
                <w:rPr>
                  <w:rFonts w:ascii="Cambria Math" w:hAnsi="Cambria Math"/>
                  <w:color w:val="000000" w:themeColor="text1"/>
                  <w:kern w:val="0"/>
                  <w:szCs w:val="21"/>
                  <w14:textFill>
                    <w14:solidFill>
                      <w14:schemeClr w14:val="tx1"/>
                    </w14:solidFill>
                  </w14:textFill>
                </w:rPr>
                <m:t>%</m:t>
              </m:r>
              <m:ctrlPr>
                <w:rPr>
                  <w:rFonts w:ascii="Cambria Math" w:hAnsi="Cambria Math"/>
                  <w:color w:val="000000" w:themeColor="text1"/>
                  <w:kern w:val="0"/>
                  <w:szCs w:val="21"/>
                  <w14:textFill>
                    <w14:solidFill>
                      <w14:schemeClr w14:val="tx1"/>
                    </w14:solidFill>
                  </w14:textFill>
                </w:rPr>
              </m:ctrlPr>
            </m:e>
          </m:d>
          <m:r>
            <m:rPr>
              <m:nor/>
              <m:sty m:val="p"/>
            </m:rPr>
            <w:rPr>
              <w:rFonts w:ascii="Cambria Math" w:hAnsi="Cambria Math"/>
              <w:color w:val="000000" w:themeColor="text1"/>
              <w:kern w:val="0"/>
              <w:szCs w:val="21"/>
              <w14:textFill>
                <w14:solidFill>
                  <w14:schemeClr w14:val="tx1"/>
                </w14:solidFill>
              </w14:textFill>
            </w:rPr>
            <m:t>=</m:t>
          </m:r>
          <m:f>
            <m:fPr>
              <m:ctrlPr>
                <w:rPr>
                  <w:rFonts w:ascii="Cambria Math" w:hAnsi="Cambria Math"/>
                  <w:iCs/>
                  <w:color w:val="000000" w:themeColor="text1"/>
                  <w:kern w:val="0"/>
                  <w:szCs w:val="21"/>
                  <w14:textFill>
                    <w14:solidFill>
                      <w14:schemeClr w14:val="tx1"/>
                    </w14:solidFill>
                  </w14:textFill>
                </w:rPr>
              </m:ctrlPr>
            </m:fPr>
            <m:num>
              <m:r>
                <m:rPr>
                  <m:sty m:val="p"/>
                </m:rPr>
                <w:rPr>
                  <w:rFonts w:ascii="Cambria Math" w:hAnsi="Cambria Math"/>
                  <w:color w:val="000000" w:themeColor="text1"/>
                  <w:kern w:val="0"/>
                  <w:szCs w:val="21"/>
                  <w14:textFill>
                    <w14:solidFill>
                      <w14:schemeClr w14:val="tx1"/>
                    </w14:solidFill>
                  </w14:textFill>
                </w:rPr>
                <m:t>20-B</m:t>
              </m:r>
              <m:ctrlPr>
                <w:rPr>
                  <w:rFonts w:ascii="Cambria Math" w:hAnsi="Cambria Math"/>
                  <w:iCs/>
                  <w:color w:val="000000" w:themeColor="text1"/>
                  <w:kern w:val="0"/>
                  <w:szCs w:val="21"/>
                  <w14:textFill>
                    <w14:solidFill>
                      <w14:schemeClr w14:val="tx1"/>
                    </w14:solidFill>
                  </w14:textFill>
                </w:rPr>
              </m:ctrlPr>
            </m:num>
            <m:den>
              <m:r>
                <m:rPr>
                  <m:sty m:val="p"/>
                </m:rPr>
                <w:rPr>
                  <w:rFonts w:ascii="Cambria Math" w:hAnsi="Cambria Math"/>
                  <w:color w:val="000000" w:themeColor="text1"/>
                  <w:kern w:val="0"/>
                  <w:szCs w:val="21"/>
                  <w14:textFill>
                    <w14:solidFill>
                      <w14:schemeClr w14:val="tx1"/>
                    </w14:solidFill>
                  </w14:textFill>
                </w:rPr>
                <m:t>C</m:t>
              </m:r>
              <m:r>
                <m:rPr>
                  <m:sty m:val="p"/>
                </m:rPr>
                <w:rPr>
                  <w:rFonts w:ascii="Cambria Math" w:hAnsi="Cambria Math" w:eastAsia="微软雅黑"/>
                  <w:color w:val="000000" w:themeColor="text1"/>
                  <w:kern w:val="0"/>
                  <w:szCs w:val="21"/>
                  <w14:textFill>
                    <w14:solidFill>
                      <w14:schemeClr w14:val="tx1"/>
                    </w14:solidFill>
                  </w14:textFill>
                </w:rPr>
                <m:t>-</m:t>
              </m:r>
              <m:r>
                <m:rPr>
                  <m:sty m:val="p"/>
                </m:rPr>
                <w:rPr>
                  <w:rFonts w:ascii="Cambria Math" w:hAnsi="Cambria Math"/>
                  <w:color w:val="000000" w:themeColor="text1"/>
                  <w:kern w:val="0"/>
                  <w:szCs w:val="21"/>
                  <w14:textFill>
                    <w14:solidFill>
                      <w14:schemeClr w14:val="tx1"/>
                    </w14:solidFill>
                  </w14:textFill>
                </w:rPr>
                <m:t>B</m:t>
              </m:r>
              <m:ctrlPr>
                <w:rPr>
                  <w:rFonts w:ascii="Cambria Math" w:hAnsi="Cambria Math"/>
                  <w:iCs/>
                  <w:color w:val="000000" w:themeColor="text1"/>
                  <w:kern w:val="0"/>
                  <w:szCs w:val="21"/>
                  <w14:textFill>
                    <w14:solidFill>
                      <w14:schemeClr w14:val="tx1"/>
                    </w14:solidFill>
                  </w14:textFill>
                </w:rPr>
              </m:ctrlPr>
            </m:den>
          </m:f>
          <m:r>
            <m:rPr>
              <m:sty m:val="p"/>
            </m:rPr>
            <w:rPr>
              <w:rFonts w:ascii="Cambria Math" w:hAnsi="Cambria Math"/>
              <w:color w:val="000000" w:themeColor="text1"/>
              <w:kern w:val="0"/>
              <w:szCs w:val="21"/>
              <w14:textFill>
                <w14:solidFill>
                  <w14:schemeClr w14:val="tx1"/>
                </w14:solidFill>
              </w14:textFill>
            </w:rPr>
            <m:t>×</m:t>
          </m:r>
          <m:d>
            <m:dPr>
              <m:ctrlPr>
                <w:rPr>
                  <w:rFonts w:ascii="Cambria Math" w:hAnsi="Cambria Math"/>
                  <w:color w:val="000000" w:themeColor="text1"/>
                  <w:kern w:val="0"/>
                  <w:szCs w:val="21"/>
                  <w14:textFill>
                    <w14:solidFill>
                      <w14:schemeClr w14:val="tx1"/>
                    </w14:solidFill>
                  </w14:textFill>
                </w:rPr>
              </m:ctrlPr>
            </m:dPr>
            <m:e>
              <m:sSub>
                <m:sSubPr>
                  <m:ctrlPr>
                    <w:rPr>
                      <w:rFonts w:ascii="Cambria Math" w:hAnsi="Cambria Math"/>
                      <w:iCs/>
                      <w:color w:val="000000" w:themeColor="text1"/>
                      <w:kern w:val="0"/>
                      <w:szCs w:val="21"/>
                      <w14:textFill>
                        <w14:solidFill>
                          <w14:schemeClr w14:val="tx1"/>
                        </w14:solidFill>
                      </w14:textFill>
                    </w:rPr>
                  </m:ctrlPr>
                </m:sSubPr>
                <m:e>
                  <m:r>
                    <m:rPr>
                      <m:sty m:val="p"/>
                    </m:rPr>
                    <w:rPr>
                      <w:rFonts w:ascii="Cambria Math" w:hAnsi="Cambria Math"/>
                      <w:color w:val="000000" w:themeColor="text1"/>
                      <w:kern w:val="0"/>
                      <w:szCs w:val="21"/>
                      <w14:textFill>
                        <w14:solidFill>
                          <w14:schemeClr w14:val="tx1"/>
                        </w14:solidFill>
                      </w14:textFill>
                    </w:rPr>
                    <m:t>M</m:t>
                  </m:r>
                  <m:ctrlPr>
                    <w:rPr>
                      <w:rFonts w:ascii="Cambria Math" w:hAnsi="Cambria Math"/>
                      <w:iCs/>
                      <w:color w:val="000000" w:themeColor="text1"/>
                      <w:kern w:val="0"/>
                      <w:szCs w:val="21"/>
                      <w14:textFill>
                        <w14:solidFill>
                          <w14:schemeClr w14:val="tx1"/>
                        </w14:solidFill>
                      </w14:textFill>
                    </w:rPr>
                  </m:ctrlPr>
                </m:e>
                <m:sub>
                  <m:r>
                    <m:rPr>
                      <m:sty m:val="p"/>
                    </m:rPr>
                    <w:rPr>
                      <w:rFonts w:ascii="Cambria Math" w:hAnsi="Cambria Math"/>
                      <w:color w:val="000000" w:themeColor="text1"/>
                      <w:kern w:val="0"/>
                      <w:szCs w:val="21"/>
                      <w14:textFill>
                        <w14:solidFill>
                          <w14:schemeClr w14:val="tx1"/>
                        </w14:solidFill>
                      </w14:textFill>
                    </w:rPr>
                    <m:t>C</m:t>
                  </m:r>
                  <m:ctrlPr>
                    <w:rPr>
                      <w:rFonts w:ascii="Cambria Math" w:hAnsi="Cambria Math"/>
                      <w:iCs/>
                      <w:color w:val="000000" w:themeColor="text1"/>
                      <w:kern w:val="0"/>
                      <w:szCs w:val="21"/>
                      <w14:textFill>
                        <w14:solidFill>
                          <w14:schemeClr w14:val="tx1"/>
                        </w14:solidFill>
                      </w14:textFill>
                    </w:rPr>
                  </m:ctrlPr>
                </m:sub>
              </m:sSub>
              <m:r>
                <m:rPr>
                  <m:sty m:val="p"/>
                </m:rPr>
                <w:rPr>
                  <w:rFonts w:ascii="Cambria Math" w:hAnsi="Cambria Math"/>
                  <w:color w:val="000000" w:themeColor="text1"/>
                  <w:kern w:val="0"/>
                  <w:szCs w:val="21"/>
                  <w14:textFill>
                    <w14:solidFill>
                      <w14:schemeClr w14:val="tx1"/>
                    </w14:solidFill>
                  </w14:textFill>
                </w:rPr>
                <m:t>-</m:t>
              </m:r>
              <m:sSub>
                <m:sSubPr>
                  <m:ctrlPr>
                    <w:rPr>
                      <w:rFonts w:ascii="Cambria Math" w:hAnsi="Cambria Math"/>
                      <w:iCs/>
                      <w:color w:val="000000" w:themeColor="text1"/>
                      <w:kern w:val="0"/>
                      <w:szCs w:val="21"/>
                      <w14:textFill>
                        <w14:solidFill>
                          <w14:schemeClr w14:val="tx1"/>
                        </w14:solidFill>
                      </w14:textFill>
                    </w:rPr>
                  </m:ctrlPr>
                </m:sSubPr>
                <m:e>
                  <m:r>
                    <m:rPr>
                      <m:sty m:val="p"/>
                    </m:rPr>
                    <w:rPr>
                      <w:rFonts w:ascii="Cambria Math" w:hAnsi="Cambria Math"/>
                      <w:color w:val="000000" w:themeColor="text1"/>
                      <w:kern w:val="0"/>
                      <w:szCs w:val="21"/>
                      <w14:textFill>
                        <w14:solidFill>
                          <w14:schemeClr w14:val="tx1"/>
                        </w14:solidFill>
                      </w14:textFill>
                    </w:rPr>
                    <m:t>M</m:t>
                  </m:r>
                  <m:ctrlPr>
                    <w:rPr>
                      <w:rFonts w:ascii="Cambria Math" w:hAnsi="Cambria Math"/>
                      <w:iCs/>
                      <w:color w:val="000000" w:themeColor="text1"/>
                      <w:kern w:val="0"/>
                      <w:szCs w:val="21"/>
                      <w14:textFill>
                        <w14:solidFill>
                          <w14:schemeClr w14:val="tx1"/>
                        </w14:solidFill>
                      </w14:textFill>
                    </w:rPr>
                  </m:ctrlPr>
                </m:e>
                <m:sub>
                  <m:r>
                    <m:rPr>
                      <m:sty m:val="p"/>
                    </m:rPr>
                    <w:rPr>
                      <w:rFonts w:ascii="Cambria Math" w:hAnsi="Cambria Math"/>
                      <w:color w:val="000000" w:themeColor="text1"/>
                      <w:kern w:val="0"/>
                      <w:szCs w:val="21"/>
                      <w14:textFill>
                        <w14:solidFill>
                          <w14:schemeClr w14:val="tx1"/>
                        </w14:solidFill>
                      </w14:textFill>
                    </w:rPr>
                    <m:t>B</m:t>
                  </m:r>
                  <m:ctrlPr>
                    <w:rPr>
                      <w:rFonts w:ascii="Cambria Math" w:hAnsi="Cambria Math"/>
                      <w:iCs/>
                      <w:color w:val="000000" w:themeColor="text1"/>
                      <w:kern w:val="0"/>
                      <w:szCs w:val="21"/>
                      <w14:textFill>
                        <w14:solidFill>
                          <w14:schemeClr w14:val="tx1"/>
                        </w14:solidFill>
                      </w14:textFill>
                    </w:rPr>
                  </m:ctrlPr>
                </m:sub>
              </m:sSub>
              <m:ctrlPr>
                <w:rPr>
                  <w:rFonts w:ascii="Cambria Math" w:hAnsi="Cambria Math"/>
                  <w:color w:val="000000" w:themeColor="text1"/>
                  <w:kern w:val="0"/>
                  <w:szCs w:val="21"/>
                  <w14:textFill>
                    <w14:solidFill>
                      <w14:schemeClr w14:val="tx1"/>
                    </w14:solidFill>
                  </w14:textFill>
                </w:rPr>
              </m:ctrlPr>
            </m:e>
          </m:d>
          <m:r>
            <m:rPr>
              <m:sty m:val="p"/>
            </m:rPr>
            <w:rPr>
              <w:rFonts w:ascii="Cambria Math" w:hAnsi="Cambria Math"/>
              <w:color w:val="000000" w:themeColor="text1"/>
              <w:kern w:val="0"/>
              <w:szCs w:val="21"/>
              <w14:textFill>
                <w14:solidFill>
                  <w14:schemeClr w14:val="tx1"/>
                </w14:solidFill>
              </w14:textFill>
            </w:rPr>
            <m:t>+</m:t>
          </m:r>
          <m:sSub>
            <m:sSubPr>
              <m:ctrlPr>
                <w:rPr>
                  <w:rFonts w:ascii="Cambria Math" w:hAnsi="Cambria Math"/>
                  <w:iCs/>
                  <w:color w:val="000000" w:themeColor="text1"/>
                  <w:kern w:val="0"/>
                  <w:szCs w:val="21"/>
                  <w14:textFill>
                    <w14:solidFill>
                      <w14:schemeClr w14:val="tx1"/>
                    </w14:solidFill>
                  </w14:textFill>
                </w:rPr>
              </m:ctrlPr>
            </m:sSubPr>
            <m:e>
              <m:r>
                <m:rPr>
                  <m:sty m:val="p"/>
                </m:rPr>
                <w:rPr>
                  <w:rFonts w:ascii="Cambria Math" w:hAnsi="Cambria Math"/>
                  <w:color w:val="000000" w:themeColor="text1"/>
                  <w:kern w:val="0"/>
                  <w:szCs w:val="21"/>
                  <w14:textFill>
                    <w14:solidFill>
                      <w14:schemeClr w14:val="tx1"/>
                    </w14:solidFill>
                  </w14:textFill>
                </w:rPr>
                <m:t>M</m:t>
              </m:r>
              <m:ctrlPr>
                <w:rPr>
                  <w:rFonts w:ascii="Cambria Math" w:hAnsi="Cambria Math"/>
                  <w:iCs/>
                  <w:color w:val="000000" w:themeColor="text1"/>
                  <w:kern w:val="0"/>
                  <w:szCs w:val="21"/>
                  <w14:textFill>
                    <w14:solidFill>
                      <w14:schemeClr w14:val="tx1"/>
                    </w14:solidFill>
                  </w14:textFill>
                </w:rPr>
              </m:ctrlPr>
            </m:e>
            <m:sub>
              <m:r>
                <m:rPr>
                  <m:sty m:val="p"/>
                </m:rPr>
                <w:rPr>
                  <w:rFonts w:ascii="Cambria Math" w:hAnsi="Cambria Math"/>
                  <w:color w:val="000000" w:themeColor="text1"/>
                  <w:kern w:val="0"/>
                  <w:szCs w:val="21"/>
                  <w14:textFill>
                    <w14:solidFill>
                      <w14:schemeClr w14:val="tx1"/>
                    </w14:solidFill>
                  </w14:textFill>
                </w:rPr>
                <m:t>B</m:t>
              </m:r>
              <m:ctrlPr>
                <w:rPr>
                  <w:rFonts w:ascii="Cambria Math" w:hAnsi="Cambria Math"/>
                  <w:iCs/>
                  <w:color w:val="000000" w:themeColor="text1"/>
                  <w:kern w:val="0"/>
                  <w:szCs w:val="21"/>
                  <w14:textFill>
                    <w14:solidFill>
                      <w14:schemeClr w14:val="tx1"/>
                    </w14:solidFill>
                  </w14:textFill>
                </w:rPr>
              </m:ctrlPr>
            </m:sub>
          </m:sSub>
        </m:oMath>
      </m:oMathPara>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其中：B：荧光素渗漏率&lt;20%；</w:t>
      </w:r>
    </w:p>
    <w:p>
      <w:pPr>
        <w:autoSpaceDE w:val="0"/>
        <w:autoSpaceDN w:val="0"/>
        <w:snapToGrid w:val="0"/>
        <w:spacing w:before="156" w:beforeLines="50" w:after="156" w:afterLines="50" w:line="300" w:lineRule="auto"/>
        <w:ind w:firstLine="1050" w:firstLineChars="5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C：荧光素渗漏率</w:t>
      </w:r>
      <w:r>
        <w:rPr>
          <w:rFonts w:hint="eastAsia" w:ascii="宋体"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20%；</w:t>
      </w:r>
    </w:p>
    <w:p>
      <w:pPr>
        <w:autoSpaceDE w:val="0"/>
        <w:autoSpaceDN w:val="0"/>
        <w:snapToGrid w:val="0"/>
        <w:spacing w:before="156" w:beforeLines="50" w:after="156" w:afterLines="50" w:line="300" w:lineRule="auto"/>
        <w:ind w:firstLine="1050" w:firstLineChars="5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M</w:t>
      </w:r>
      <w:r>
        <w:rPr>
          <w:color w:val="000000" w:themeColor="text1"/>
          <w:kern w:val="0"/>
          <w:szCs w:val="21"/>
          <w:vertAlign w:val="subscript"/>
          <w14:textFill>
            <w14:solidFill>
              <w14:schemeClr w14:val="tx1"/>
            </w14:solidFill>
          </w14:textFill>
        </w:rPr>
        <w:t>C</w:t>
      </w:r>
      <w:r>
        <w:rPr>
          <w:color w:val="000000" w:themeColor="text1"/>
          <w:kern w:val="0"/>
          <w:szCs w:val="21"/>
          <w14:textFill>
            <w14:solidFill>
              <w14:schemeClr w14:val="tx1"/>
            </w14:solidFill>
          </w14:textFill>
        </w:rPr>
        <w:t>：C对应的浓度(mg/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w:t>
      </w:r>
    </w:p>
    <w:p>
      <w:pPr>
        <w:autoSpaceDE w:val="0"/>
        <w:autoSpaceDN w:val="0"/>
        <w:snapToGrid w:val="0"/>
        <w:spacing w:before="156" w:beforeLines="50" w:after="156" w:afterLines="50" w:line="300" w:lineRule="auto"/>
        <w:ind w:firstLine="1050" w:firstLineChars="5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M</w:t>
      </w:r>
      <w:r>
        <w:rPr>
          <w:color w:val="000000" w:themeColor="text1"/>
          <w:kern w:val="0"/>
          <w:szCs w:val="21"/>
          <w:vertAlign w:val="subscript"/>
          <w14:textFill>
            <w14:solidFill>
              <w14:schemeClr w14:val="tx1"/>
            </w14:solidFill>
          </w14:textFill>
        </w:rPr>
        <w:t>B</w:t>
      </w:r>
      <w:r>
        <w:rPr>
          <w:color w:val="000000" w:themeColor="text1"/>
          <w:kern w:val="0"/>
          <w:szCs w:val="21"/>
          <w14:textFill>
            <w14:solidFill>
              <w14:schemeClr w14:val="tx1"/>
            </w14:solidFill>
          </w14:textFill>
        </w:rPr>
        <w:t>：B对应的浓度(mg/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w:t>
      </w:r>
    </w:p>
    <w:p>
      <w:pPr>
        <w:autoSpaceDE w:val="0"/>
        <w:autoSpaceDN w:val="0"/>
        <w:snapToGrid w:val="0"/>
        <w:spacing w:before="156" w:beforeLines="50" w:after="156" w:afterLines="50"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5.2.4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结果判定</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当受试物FL</w:t>
      </w:r>
      <w:r>
        <w:rPr>
          <w:color w:val="000000" w:themeColor="text1"/>
          <w:kern w:val="0"/>
          <w:szCs w:val="21"/>
          <w:vertAlign w:val="subscript"/>
          <w14:textFill>
            <w14:solidFill>
              <w14:schemeClr w14:val="tx1"/>
            </w14:solidFill>
          </w14:textFill>
        </w:rPr>
        <w:t>20</w:t>
      </w:r>
      <w:r>
        <w:rPr>
          <w:color w:val="000000" w:themeColor="text1"/>
          <w:kern w:val="0"/>
          <w:szCs w:val="21"/>
          <w14:textFill>
            <w14:solidFill>
              <w14:schemeClr w14:val="tx1"/>
            </w14:solidFill>
          </w14:textFill>
        </w:rPr>
        <w:t>（mg/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100 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时，判定受试物具有眼腐蚀性或强刺激性。</w:t>
      </w:r>
    </w:p>
    <w:p>
      <w:pPr>
        <w:autoSpaceDE w:val="0"/>
        <w:autoSpaceDN w:val="0"/>
        <w:snapToGrid w:val="0"/>
        <w:spacing w:before="156" w:beforeLines="50" w:after="156" w:afterLines="50"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5.2.5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系统成立的条件</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需同时满足以下条件，否则应重复试验：</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bookmarkStart w:id="4" w:name="OLE_LINK4"/>
      <w:r>
        <w:rPr>
          <w:color w:val="000000" w:themeColor="text1"/>
          <w:kern w:val="0"/>
          <w:szCs w:val="21"/>
          <w14:textFill>
            <w14:solidFill>
              <w14:schemeClr w14:val="tx1"/>
            </w14:solidFill>
          </w14:textFill>
        </w:rPr>
        <w:t>建模成功后，细胞与transwell具有一定的结合度：0%荧光素渗漏的平均荧光强度（B组）应小于等于最大荧光素渗漏平均荧光强度（M组）的6%</w:t>
      </w:r>
      <w:bookmarkEnd w:id="4"/>
      <w:r>
        <w:rPr>
          <w:color w:val="000000" w:themeColor="text1"/>
          <w:kern w:val="0"/>
          <w:szCs w:val="21"/>
          <w14:textFill>
            <w14:solidFill>
              <w14:schemeClr w14:val="tx1"/>
            </w14:solidFill>
          </w14:textFill>
        </w:rPr>
        <w:t>；</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（2）阳性对照组荧光素渗漏率应介于20%~40%之间。</w:t>
      </w:r>
    </w:p>
    <w:p>
      <w:pPr>
        <w:pStyle w:val="19"/>
        <w:snapToGrid w:val="0"/>
        <w:spacing w:before="156" w:beforeLines="50" w:after="156" w:afterLines="50" w:line="300" w:lineRule="auto"/>
        <w:ind w:firstLine="0" w:firstLineChars="0"/>
        <w:rPr>
          <w:rFonts w:ascii="Times New Roman" w:eastAsia="黑体"/>
          <w:bCs/>
          <w:szCs w:val="21"/>
        </w:rPr>
      </w:pPr>
      <w:r>
        <w:rPr>
          <w:rFonts w:ascii="Times New Roman" w:eastAsia="黑体"/>
          <w:bCs/>
          <w:szCs w:val="21"/>
        </w:rPr>
        <w:t xml:space="preserve">6 </w:t>
      </w:r>
      <w:r>
        <w:rPr>
          <w:rFonts w:hint="eastAsia" w:ascii="Times New Roman" w:eastAsia="黑体"/>
          <w:bCs/>
          <w:szCs w:val="21"/>
        </w:rPr>
        <w:t xml:space="preserve"> </w:t>
      </w:r>
      <w:r>
        <w:rPr>
          <w:rFonts w:ascii="Times New Roman" w:eastAsia="黑体"/>
          <w:bCs/>
          <w:szCs w:val="21"/>
        </w:rPr>
        <w:t>结果解释</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当受试物FL</w:t>
      </w:r>
      <w:r>
        <w:rPr>
          <w:color w:val="000000" w:themeColor="text1"/>
          <w:kern w:val="0"/>
          <w:szCs w:val="21"/>
          <w:vertAlign w:val="subscript"/>
          <w14:textFill>
            <w14:solidFill>
              <w14:schemeClr w14:val="tx1"/>
            </w14:solidFill>
          </w14:textFill>
        </w:rPr>
        <w:t>20</w:t>
      </w:r>
      <w:r>
        <w:rPr>
          <w:color w:val="000000" w:themeColor="text1"/>
          <w:kern w:val="0"/>
          <w:szCs w:val="21"/>
          <w14:textFill>
            <w14:solidFill>
              <w14:schemeClr w14:val="tx1"/>
            </w14:solidFill>
          </w14:textFill>
        </w:rPr>
        <w:t>（mg/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）&gt;100 mg/</w:t>
      </w:r>
      <w:r>
        <w:rPr>
          <w:rFonts w:hint="eastAsia"/>
          <w:color w:val="000000" w:themeColor="text1"/>
          <w:kern w:val="0"/>
          <w:szCs w:val="21"/>
          <w14:textFill>
            <w14:solidFill>
              <w14:schemeClr w14:val="tx1"/>
            </w14:solidFill>
          </w14:textFill>
        </w:rPr>
        <w:t>mL</w:t>
      </w:r>
      <w:r>
        <w:rPr>
          <w:color w:val="000000" w:themeColor="text1"/>
          <w:kern w:val="0"/>
          <w:szCs w:val="21"/>
          <w14:textFill>
            <w14:solidFill>
              <w14:schemeClr w14:val="tx1"/>
            </w14:solidFill>
          </w14:textFill>
        </w:rPr>
        <w:t>时，需采用其他试验进一步研究确证受试物的眼刺激性。本试验适用于水溶性的化学原料，不适用于强酸、强碱、具有细胞固定作用的物质、高度挥发性物质。本试验可作为眼刺激/腐蚀性测试组合策略的备选方法。</w:t>
      </w: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p>
    <w:p>
      <w:pPr>
        <w:autoSpaceDE w:val="0"/>
        <w:autoSpaceDN w:val="0"/>
        <w:snapToGrid w:val="0"/>
        <w:spacing w:before="156" w:beforeLines="50" w:after="156" w:afterLines="50" w:line="300" w:lineRule="auto"/>
        <w:ind w:firstLine="420" w:firstLineChars="200"/>
        <w:rPr>
          <w:color w:val="000000" w:themeColor="text1"/>
          <w:kern w:val="0"/>
          <w:szCs w:val="21"/>
          <w14:textFill>
            <w14:solidFill>
              <w14:schemeClr w14:val="tx1"/>
            </w14:solidFill>
          </w14:textFill>
        </w:rPr>
      </w:pPr>
    </w:p>
    <w:p>
      <w:pPr>
        <w:autoSpaceDE w:val="0"/>
        <w:autoSpaceDN w:val="0"/>
        <w:spacing w:line="300" w:lineRule="auto"/>
        <w:ind w:firstLine="420" w:firstLineChars="200"/>
        <w:rPr>
          <w:color w:val="000000" w:themeColor="text1"/>
          <w:kern w:val="0"/>
          <w:szCs w:val="21"/>
          <w14:textFill>
            <w14:solidFill>
              <w14:schemeClr w14:val="tx1"/>
            </w14:solidFill>
          </w14:textFill>
        </w:rPr>
      </w:pPr>
    </w:p>
    <w:p>
      <w:pPr>
        <w:autoSpaceDE w:val="0"/>
        <w:autoSpaceDN w:val="0"/>
        <w:spacing w:line="300" w:lineRule="auto"/>
        <w:ind w:firstLine="420" w:firstLineChars="200"/>
        <w:rPr>
          <w:color w:val="000000" w:themeColor="text1"/>
          <w:kern w:val="0"/>
          <w:szCs w:val="21"/>
          <w14:textFill>
            <w14:solidFill>
              <w14:schemeClr w14:val="tx1"/>
            </w14:solidFill>
          </w14:textFill>
        </w:rPr>
      </w:pPr>
    </w:p>
    <w:p>
      <w:pPr>
        <w:autoSpaceDE w:val="0"/>
        <w:autoSpaceDN w:val="0"/>
        <w:spacing w:line="300" w:lineRule="auto"/>
        <w:rPr>
          <w:rStyle w:val="31"/>
          <w:szCs w:val="21"/>
        </w:rPr>
      </w:pPr>
    </w:p>
    <w:sectPr>
      <w:footerReference r:id="rId6" w:type="first"/>
      <w:headerReference r:id="rId3" w:type="default"/>
      <w:footerReference r:id="rId4" w:type="default"/>
      <w:footerReference r:id="rId5" w:type="even"/>
      <w:pgSz w:w="11907" w:h="16839"/>
      <w:pgMar w:top="1440" w:right="1803" w:bottom="1440" w:left="1803"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Verdana">
    <w:altName w:val="DejaVu Sans"/>
    <w:panose1 w:val="020B0604030504040204"/>
    <w:charset w:val="00"/>
    <w:family w:val="swiss"/>
    <w:pitch w:val="default"/>
    <w:sig w:usb0="00000000" w:usb1="00000000" w:usb2="00000010" w:usb3="00000000" w:csb0="0000019F" w:csb1="00000000"/>
  </w:font>
  <w:font w:name="”“Times New Roman”“">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Math">
    <w:altName w:val="Caladea"/>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Caladea">
    <w:panose1 w:val="02040503050406030204"/>
    <w:charset w:val="00"/>
    <w:family w:val="auto"/>
    <w:pitch w:val="default"/>
    <w:sig w:usb0="00000007" w:usb1="00000000" w:usb2="00000000" w:usb3="00000000" w:csb0="20000093"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rPr>
        <w:rStyle w:val="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rPr>
        <w:rStyle w:val="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ZDVlMDljN2VlZTI4MGMzOGM5NWRiZTg4Njk4MGYifQ=="/>
  </w:docVars>
  <w:rsids>
    <w:rsidRoot w:val="0044577B"/>
    <w:rsid w:val="00000BFF"/>
    <w:rsid w:val="000037EE"/>
    <w:rsid w:val="000051DA"/>
    <w:rsid w:val="00005F8B"/>
    <w:rsid w:val="00011BFF"/>
    <w:rsid w:val="00012D36"/>
    <w:rsid w:val="00015C8B"/>
    <w:rsid w:val="00016038"/>
    <w:rsid w:val="0001645B"/>
    <w:rsid w:val="00020E4E"/>
    <w:rsid w:val="00022FAA"/>
    <w:rsid w:val="00023C87"/>
    <w:rsid w:val="00023C89"/>
    <w:rsid w:val="00027C8D"/>
    <w:rsid w:val="0003600A"/>
    <w:rsid w:val="00037EA4"/>
    <w:rsid w:val="0004342E"/>
    <w:rsid w:val="0004759F"/>
    <w:rsid w:val="00051F59"/>
    <w:rsid w:val="0005625F"/>
    <w:rsid w:val="00056DEB"/>
    <w:rsid w:val="00060C04"/>
    <w:rsid w:val="000624B0"/>
    <w:rsid w:val="00064450"/>
    <w:rsid w:val="000648FF"/>
    <w:rsid w:val="00067FAF"/>
    <w:rsid w:val="000705C0"/>
    <w:rsid w:val="00072E08"/>
    <w:rsid w:val="0007727F"/>
    <w:rsid w:val="00081611"/>
    <w:rsid w:val="0008680D"/>
    <w:rsid w:val="00097DDF"/>
    <w:rsid w:val="000A0BF6"/>
    <w:rsid w:val="000A0C70"/>
    <w:rsid w:val="000A1E7C"/>
    <w:rsid w:val="000A4D1F"/>
    <w:rsid w:val="000A50DB"/>
    <w:rsid w:val="000A646F"/>
    <w:rsid w:val="000A6DC7"/>
    <w:rsid w:val="000A7260"/>
    <w:rsid w:val="000A7D30"/>
    <w:rsid w:val="000B1744"/>
    <w:rsid w:val="000B5E2B"/>
    <w:rsid w:val="000B70D1"/>
    <w:rsid w:val="000B74B6"/>
    <w:rsid w:val="000C4085"/>
    <w:rsid w:val="000C61D4"/>
    <w:rsid w:val="000C7315"/>
    <w:rsid w:val="000D1EBA"/>
    <w:rsid w:val="000D2830"/>
    <w:rsid w:val="000D7F87"/>
    <w:rsid w:val="000E0847"/>
    <w:rsid w:val="000E12A9"/>
    <w:rsid w:val="000E6AB8"/>
    <w:rsid w:val="000F102C"/>
    <w:rsid w:val="000F1085"/>
    <w:rsid w:val="000F1929"/>
    <w:rsid w:val="000F2225"/>
    <w:rsid w:val="00101DDE"/>
    <w:rsid w:val="00102319"/>
    <w:rsid w:val="001056F1"/>
    <w:rsid w:val="00106BA4"/>
    <w:rsid w:val="00106E20"/>
    <w:rsid w:val="00110976"/>
    <w:rsid w:val="00124F63"/>
    <w:rsid w:val="00131E61"/>
    <w:rsid w:val="00132045"/>
    <w:rsid w:val="00141D50"/>
    <w:rsid w:val="00143495"/>
    <w:rsid w:val="00143D71"/>
    <w:rsid w:val="00144E94"/>
    <w:rsid w:val="001466BC"/>
    <w:rsid w:val="00147032"/>
    <w:rsid w:val="00147A2C"/>
    <w:rsid w:val="00155F29"/>
    <w:rsid w:val="001567B5"/>
    <w:rsid w:val="00156999"/>
    <w:rsid w:val="00156DF9"/>
    <w:rsid w:val="00157FB1"/>
    <w:rsid w:val="00161E01"/>
    <w:rsid w:val="0016286C"/>
    <w:rsid w:val="001740A2"/>
    <w:rsid w:val="00182362"/>
    <w:rsid w:val="00190088"/>
    <w:rsid w:val="001A3CD4"/>
    <w:rsid w:val="001A4CFF"/>
    <w:rsid w:val="001A5077"/>
    <w:rsid w:val="001A789A"/>
    <w:rsid w:val="001A7F04"/>
    <w:rsid w:val="001B0506"/>
    <w:rsid w:val="001B37D4"/>
    <w:rsid w:val="001B52B3"/>
    <w:rsid w:val="001B7348"/>
    <w:rsid w:val="001C01B1"/>
    <w:rsid w:val="001C58C2"/>
    <w:rsid w:val="001D14C3"/>
    <w:rsid w:val="001D1AAC"/>
    <w:rsid w:val="001D5767"/>
    <w:rsid w:val="001E298F"/>
    <w:rsid w:val="001F043E"/>
    <w:rsid w:val="001F215D"/>
    <w:rsid w:val="001F6714"/>
    <w:rsid w:val="002003C5"/>
    <w:rsid w:val="00202E75"/>
    <w:rsid w:val="002043A7"/>
    <w:rsid w:val="00204848"/>
    <w:rsid w:val="002077BB"/>
    <w:rsid w:val="00210C7B"/>
    <w:rsid w:val="00211636"/>
    <w:rsid w:val="0021297F"/>
    <w:rsid w:val="00217639"/>
    <w:rsid w:val="00221195"/>
    <w:rsid w:val="002216EC"/>
    <w:rsid w:val="00221C12"/>
    <w:rsid w:val="002269ED"/>
    <w:rsid w:val="00233826"/>
    <w:rsid w:val="002342BA"/>
    <w:rsid w:val="002345D7"/>
    <w:rsid w:val="002363B0"/>
    <w:rsid w:val="00236748"/>
    <w:rsid w:val="002401A0"/>
    <w:rsid w:val="00241600"/>
    <w:rsid w:val="002441D2"/>
    <w:rsid w:val="00245161"/>
    <w:rsid w:val="002453B2"/>
    <w:rsid w:val="00253859"/>
    <w:rsid w:val="00254B6C"/>
    <w:rsid w:val="00255B7C"/>
    <w:rsid w:val="00262F3E"/>
    <w:rsid w:val="00263EB4"/>
    <w:rsid w:val="00265958"/>
    <w:rsid w:val="002666D0"/>
    <w:rsid w:val="0027094D"/>
    <w:rsid w:val="00270B2A"/>
    <w:rsid w:val="002769F0"/>
    <w:rsid w:val="0028166A"/>
    <w:rsid w:val="002820B2"/>
    <w:rsid w:val="002844EA"/>
    <w:rsid w:val="00284E79"/>
    <w:rsid w:val="00292904"/>
    <w:rsid w:val="00294E2F"/>
    <w:rsid w:val="0029721A"/>
    <w:rsid w:val="002A1C6B"/>
    <w:rsid w:val="002B269F"/>
    <w:rsid w:val="002B29F5"/>
    <w:rsid w:val="002B72BD"/>
    <w:rsid w:val="002B792C"/>
    <w:rsid w:val="002C1654"/>
    <w:rsid w:val="002C1779"/>
    <w:rsid w:val="002C6F16"/>
    <w:rsid w:val="002D1360"/>
    <w:rsid w:val="002D5DED"/>
    <w:rsid w:val="002D7FCF"/>
    <w:rsid w:val="002E3D85"/>
    <w:rsid w:val="002E6067"/>
    <w:rsid w:val="002E6991"/>
    <w:rsid w:val="002F43E9"/>
    <w:rsid w:val="00300B4E"/>
    <w:rsid w:val="00302715"/>
    <w:rsid w:val="00303C94"/>
    <w:rsid w:val="003142DC"/>
    <w:rsid w:val="003178F3"/>
    <w:rsid w:val="0032198D"/>
    <w:rsid w:val="00322965"/>
    <w:rsid w:val="00323AE4"/>
    <w:rsid w:val="00333469"/>
    <w:rsid w:val="00336758"/>
    <w:rsid w:val="00341115"/>
    <w:rsid w:val="00344FC4"/>
    <w:rsid w:val="003479DF"/>
    <w:rsid w:val="00351C10"/>
    <w:rsid w:val="00354252"/>
    <w:rsid w:val="00354AA9"/>
    <w:rsid w:val="0035526F"/>
    <w:rsid w:val="0035611E"/>
    <w:rsid w:val="00356B68"/>
    <w:rsid w:val="0036572F"/>
    <w:rsid w:val="00366188"/>
    <w:rsid w:val="00367685"/>
    <w:rsid w:val="003722D8"/>
    <w:rsid w:val="003733A3"/>
    <w:rsid w:val="00377AF6"/>
    <w:rsid w:val="003849E9"/>
    <w:rsid w:val="003868ED"/>
    <w:rsid w:val="00392407"/>
    <w:rsid w:val="003968C1"/>
    <w:rsid w:val="00396DA6"/>
    <w:rsid w:val="00396E0B"/>
    <w:rsid w:val="003A2784"/>
    <w:rsid w:val="003A3E69"/>
    <w:rsid w:val="003A5408"/>
    <w:rsid w:val="003A6326"/>
    <w:rsid w:val="003B4E67"/>
    <w:rsid w:val="003B7600"/>
    <w:rsid w:val="003D18A6"/>
    <w:rsid w:val="003D1975"/>
    <w:rsid w:val="003D1EAC"/>
    <w:rsid w:val="003D3843"/>
    <w:rsid w:val="003D42A8"/>
    <w:rsid w:val="003D7BEF"/>
    <w:rsid w:val="003E4725"/>
    <w:rsid w:val="003E47F2"/>
    <w:rsid w:val="003E661C"/>
    <w:rsid w:val="003F01DF"/>
    <w:rsid w:val="003F044A"/>
    <w:rsid w:val="003F0D90"/>
    <w:rsid w:val="003F203A"/>
    <w:rsid w:val="003F4D53"/>
    <w:rsid w:val="003F551D"/>
    <w:rsid w:val="00402A73"/>
    <w:rsid w:val="004034EA"/>
    <w:rsid w:val="0040438E"/>
    <w:rsid w:val="00410036"/>
    <w:rsid w:val="0041223A"/>
    <w:rsid w:val="00413862"/>
    <w:rsid w:val="004153FD"/>
    <w:rsid w:val="00416E90"/>
    <w:rsid w:val="004202BF"/>
    <w:rsid w:val="00420E2E"/>
    <w:rsid w:val="0042102A"/>
    <w:rsid w:val="0042172E"/>
    <w:rsid w:val="00425A95"/>
    <w:rsid w:val="00426FDC"/>
    <w:rsid w:val="00427081"/>
    <w:rsid w:val="00427229"/>
    <w:rsid w:val="004335E0"/>
    <w:rsid w:val="004345E6"/>
    <w:rsid w:val="0044002C"/>
    <w:rsid w:val="00440439"/>
    <w:rsid w:val="0044577B"/>
    <w:rsid w:val="00445CA5"/>
    <w:rsid w:val="0044785B"/>
    <w:rsid w:val="00450A63"/>
    <w:rsid w:val="00453E8E"/>
    <w:rsid w:val="00456428"/>
    <w:rsid w:val="00456FD1"/>
    <w:rsid w:val="00460530"/>
    <w:rsid w:val="00460CF3"/>
    <w:rsid w:val="00463E58"/>
    <w:rsid w:val="00470A03"/>
    <w:rsid w:val="00472404"/>
    <w:rsid w:val="00473C54"/>
    <w:rsid w:val="0047611B"/>
    <w:rsid w:val="004767F8"/>
    <w:rsid w:val="00477F40"/>
    <w:rsid w:val="00482F34"/>
    <w:rsid w:val="00485C6E"/>
    <w:rsid w:val="00485E3C"/>
    <w:rsid w:val="00486DE8"/>
    <w:rsid w:val="00487CEA"/>
    <w:rsid w:val="004904E2"/>
    <w:rsid w:val="004B320F"/>
    <w:rsid w:val="004B4F92"/>
    <w:rsid w:val="004B5B86"/>
    <w:rsid w:val="004B6455"/>
    <w:rsid w:val="004B6BCA"/>
    <w:rsid w:val="004C2530"/>
    <w:rsid w:val="004C28DB"/>
    <w:rsid w:val="004C5862"/>
    <w:rsid w:val="004C66D8"/>
    <w:rsid w:val="004C73A7"/>
    <w:rsid w:val="004D009B"/>
    <w:rsid w:val="004D3D7C"/>
    <w:rsid w:val="004D533A"/>
    <w:rsid w:val="004E1CD4"/>
    <w:rsid w:val="004E4221"/>
    <w:rsid w:val="004E6C26"/>
    <w:rsid w:val="004F7AF9"/>
    <w:rsid w:val="005001CE"/>
    <w:rsid w:val="00500F67"/>
    <w:rsid w:val="005107E2"/>
    <w:rsid w:val="00511DEE"/>
    <w:rsid w:val="00512BAA"/>
    <w:rsid w:val="00513D28"/>
    <w:rsid w:val="005174EB"/>
    <w:rsid w:val="00517D6B"/>
    <w:rsid w:val="00520A34"/>
    <w:rsid w:val="00520C06"/>
    <w:rsid w:val="005217AB"/>
    <w:rsid w:val="00522E68"/>
    <w:rsid w:val="0052524A"/>
    <w:rsid w:val="0052760B"/>
    <w:rsid w:val="00527CAA"/>
    <w:rsid w:val="00527D9B"/>
    <w:rsid w:val="00531B5B"/>
    <w:rsid w:val="00532592"/>
    <w:rsid w:val="0053333E"/>
    <w:rsid w:val="00535E36"/>
    <w:rsid w:val="00536B52"/>
    <w:rsid w:val="00536EE2"/>
    <w:rsid w:val="005375FC"/>
    <w:rsid w:val="00540C25"/>
    <w:rsid w:val="005415D7"/>
    <w:rsid w:val="00542815"/>
    <w:rsid w:val="005429D0"/>
    <w:rsid w:val="005456F5"/>
    <w:rsid w:val="00550763"/>
    <w:rsid w:val="0055262C"/>
    <w:rsid w:val="00555172"/>
    <w:rsid w:val="0055739C"/>
    <w:rsid w:val="00563295"/>
    <w:rsid w:val="00566A0D"/>
    <w:rsid w:val="00566CC1"/>
    <w:rsid w:val="005723FF"/>
    <w:rsid w:val="0057367A"/>
    <w:rsid w:val="00573EF1"/>
    <w:rsid w:val="00580136"/>
    <w:rsid w:val="005819CF"/>
    <w:rsid w:val="005827E8"/>
    <w:rsid w:val="0058581A"/>
    <w:rsid w:val="005861C1"/>
    <w:rsid w:val="00587461"/>
    <w:rsid w:val="005951A9"/>
    <w:rsid w:val="00597702"/>
    <w:rsid w:val="005A0B79"/>
    <w:rsid w:val="005A655F"/>
    <w:rsid w:val="005A68AD"/>
    <w:rsid w:val="005A68D7"/>
    <w:rsid w:val="005B0E04"/>
    <w:rsid w:val="005B15D7"/>
    <w:rsid w:val="005B22E1"/>
    <w:rsid w:val="005B3CFE"/>
    <w:rsid w:val="005B4C3C"/>
    <w:rsid w:val="005B72FF"/>
    <w:rsid w:val="005C1A52"/>
    <w:rsid w:val="005C322B"/>
    <w:rsid w:val="005C4956"/>
    <w:rsid w:val="005C52BB"/>
    <w:rsid w:val="005C73EA"/>
    <w:rsid w:val="005D23DB"/>
    <w:rsid w:val="005D30BE"/>
    <w:rsid w:val="005D45A7"/>
    <w:rsid w:val="005D4881"/>
    <w:rsid w:val="005D489E"/>
    <w:rsid w:val="005D637B"/>
    <w:rsid w:val="005E111D"/>
    <w:rsid w:val="005E20B1"/>
    <w:rsid w:val="005E5D72"/>
    <w:rsid w:val="005E7D56"/>
    <w:rsid w:val="005F016F"/>
    <w:rsid w:val="005F1F44"/>
    <w:rsid w:val="005F4309"/>
    <w:rsid w:val="005F52CB"/>
    <w:rsid w:val="005F56A9"/>
    <w:rsid w:val="005F698E"/>
    <w:rsid w:val="0060323A"/>
    <w:rsid w:val="00603ED9"/>
    <w:rsid w:val="00603F70"/>
    <w:rsid w:val="00604517"/>
    <w:rsid w:val="0060462A"/>
    <w:rsid w:val="00605402"/>
    <w:rsid w:val="00605DFF"/>
    <w:rsid w:val="006069E7"/>
    <w:rsid w:val="00606F28"/>
    <w:rsid w:val="00607F02"/>
    <w:rsid w:val="00610758"/>
    <w:rsid w:val="006110FC"/>
    <w:rsid w:val="006226C9"/>
    <w:rsid w:val="00623423"/>
    <w:rsid w:val="006266FC"/>
    <w:rsid w:val="006315DB"/>
    <w:rsid w:val="00633993"/>
    <w:rsid w:val="00636A9C"/>
    <w:rsid w:val="006370BC"/>
    <w:rsid w:val="006425DE"/>
    <w:rsid w:val="0064428C"/>
    <w:rsid w:val="006443B0"/>
    <w:rsid w:val="0064461C"/>
    <w:rsid w:val="0064472D"/>
    <w:rsid w:val="00647134"/>
    <w:rsid w:val="00654036"/>
    <w:rsid w:val="00657978"/>
    <w:rsid w:val="00667DCB"/>
    <w:rsid w:val="00671927"/>
    <w:rsid w:val="00674F81"/>
    <w:rsid w:val="00675506"/>
    <w:rsid w:val="00677106"/>
    <w:rsid w:val="006775A1"/>
    <w:rsid w:val="00687F74"/>
    <w:rsid w:val="006933E9"/>
    <w:rsid w:val="006934BF"/>
    <w:rsid w:val="006954E9"/>
    <w:rsid w:val="00696A04"/>
    <w:rsid w:val="00696F87"/>
    <w:rsid w:val="006A11A7"/>
    <w:rsid w:val="006A1F10"/>
    <w:rsid w:val="006B1386"/>
    <w:rsid w:val="006B3C31"/>
    <w:rsid w:val="006B5979"/>
    <w:rsid w:val="006B7538"/>
    <w:rsid w:val="006C3335"/>
    <w:rsid w:val="006C3BE0"/>
    <w:rsid w:val="006C5363"/>
    <w:rsid w:val="006C6D6E"/>
    <w:rsid w:val="006C72F0"/>
    <w:rsid w:val="006D11C4"/>
    <w:rsid w:val="006E0307"/>
    <w:rsid w:val="006E0EA1"/>
    <w:rsid w:val="006E3713"/>
    <w:rsid w:val="006E50E9"/>
    <w:rsid w:val="006F0032"/>
    <w:rsid w:val="006F7DC6"/>
    <w:rsid w:val="00700406"/>
    <w:rsid w:val="007036A0"/>
    <w:rsid w:val="007118EA"/>
    <w:rsid w:val="0071504B"/>
    <w:rsid w:val="007168AB"/>
    <w:rsid w:val="00716D9E"/>
    <w:rsid w:val="00716FD8"/>
    <w:rsid w:val="00720242"/>
    <w:rsid w:val="007215F7"/>
    <w:rsid w:val="00723A34"/>
    <w:rsid w:val="00730BD4"/>
    <w:rsid w:val="00731040"/>
    <w:rsid w:val="007410FC"/>
    <w:rsid w:val="00745C3E"/>
    <w:rsid w:val="00747D92"/>
    <w:rsid w:val="00752121"/>
    <w:rsid w:val="007521CB"/>
    <w:rsid w:val="00753E27"/>
    <w:rsid w:val="007561D0"/>
    <w:rsid w:val="007564C3"/>
    <w:rsid w:val="0075662F"/>
    <w:rsid w:val="007574E9"/>
    <w:rsid w:val="00760F2A"/>
    <w:rsid w:val="00761B94"/>
    <w:rsid w:val="00777262"/>
    <w:rsid w:val="00777DF2"/>
    <w:rsid w:val="00782BBC"/>
    <w:rsid w:val="00790B07"/>
    <w:rsid w:val="007963CF"/>
    <w:rsid w:val="007A2D63"/>
    <w:rsid w:val="007B0214"/>
    <w:rsid w:val="007B2339"/>
    <w:rsid w:val="007B32A1"/>
    <w:rsid w:val="007B73A2"/>
    <w:rsid w:val="007B79DA"/>
    <w:rsid w:val="007B7C51"/>
    <w:rsid w:val="007C27CC"/>
    <w:rsid w:val="007C46F2"/>
    <w:rsid w:val="007C7F02"/>
    <w:rsid w:val="007D140E"/>
    <w:rsid w:val="007D3F6B"/>
    <w:rsid w:val="007D3FDF"/>
    <w:rsid w:val="007D42EC"/>
    <w:rsid w:val="007D6246"/>
    <w:rsid w:val="007D7074"/>
    <w:rsid w:val="007E1040"/>
    <w:rsid w:val="007E1D1D"/>
    <w:rsid w:val="007E2472"/>
    <w:rsid w:val="007E2A13"/>
    <w:rsid w:val="007E6F1C"/>
    <w:rsid w:val="007E7294"/>
    <w:rsid w:val="007F21D0"/>
    <w:rsid w:val="008004C5"/>
    <w:rsid w:val="00803CBD"/>
    <w:rsid w:val="00804D11"/>
    <w:rsid w:val="00805F7E"/>
    <w:rsid w:val="00810309"/>
    <w:rsid w:val="00810F56"/>
    <w:rsid w:val="00812FAE"/>
    <w:rsid w:val="00813230"/>
    <w:rsid w:val="008136E3"/>
    <w:rsid w:val="0081569C"/>
    <w:rsid w:val="008156CD"/>
    <w:rsid w:val="0081668E"/>
    <w:rsid w:val="00822FEE"/>
    <w:rsid w:val="0083024F"/>
    <w:rsid w:val="0083291B"/>
    <w:rsid w:val="00832F60"/>
    <w:rsid w:val="008368CB"/>
    <w:rsid w:val="00840CEF"/>
    <w:rsid w:val="00841886"/>
    <w:rsid w:val="00843DBC"/>
    <w:rsid w:val="0084404B"/>
    <w:rsid w:val="0084528B"/>
    <w:rsid w:val="00845C33"/>
    <w:rsid w:val="0084604E"/>
    <w:rsid w:val="008460C6"/>
    <w:rsid w:val="00847A8D"/>
    <w:rsid w:val="008519CF"/>
    <w:rsid w:val="00851CC5"/>
    <w:rsid w:val="00851FC2"/>
    <w:rsid w:val="008535E5"/>
    <w:rsid w:val="008572C7"/>
    <w:rsid w:val="00857B12"/>
    <w:rsid w:val="00861660"/>
    <w:rsid w:val="00865ED3"/>
    <w:rsid w:val="008665C0"/>
    <w:rsid w:val="00871735"/>
    <w:rsid w:val="00876100"/>
    <w:rsid w:val="0087709E"/>
    <w:rsid w:val="008837DD"/>
    <w:rsid w:val="008865CD"/>
    <w:rsid w:val="00894037"/>
    <w:rsid w:val="0089469A"/>
    <w:rsid w:val="008976CD"/>
    <w:rsid w:val="008A0E4B"/>
    <w:rsid w:val="008A138A"/>
    <w:rsid w:val="008B3DCC"/>
    <w:rsid w:val="008B4687"/>
    <w:rsid w:val="008C04C5"/>
    <w:rsid w:val="008C14E0"/>
    <w:rsid w:val="008C1758"/>
    <w:rsid w:val="008C37EF"/>
    <w:rsid w:val="008C4E95"/>
    <w:rsid w:val="008C67DA"/>
    <w:rsid w:val="008D1D38"/>
    <w:rsid w:val="008D41D7"/>
    <w:rsid w:val="008D5B0B"/>
    <w:rsid w:val="008E08CA"/>
    <w:rsid w:val="008E0C22"/>
    <w:rsid w:val="008E6927"/>
    <w:rsid w:val="008F7B0E"/>
    <w:rsid w:val="009019FB"/>
    <w:rsid w:val="00903DC7"/>
    <w:rsid w:val="00910121"/>
    <w:rsid w:val="009104A1"/>
    <w:rsid w:val="00910537"/>
    <w:rsid w:val="00910E2E"/>
    <w:rsid w:val="00911907"/>
    <w:rsid w:val="00912B8E"/>
    <w:rsid w:val="00913B5A"/>
    <w:rsid w:val="009159F6"/>
    <w:rsid w:val="009175B1"/>
    <w:rsid w:val="00921129"/>
    <w:rsid w:val="00921C05"/>
    <w:rsid w:val="00923B7A"/>
    <w:rsid w:val="00931234"/>
    <w:rsid w:val="00931303"/>
    <w:rsid w:val="00931D61"/>
    <w:rsid w:val="00933061"/>
    <w:rsid w:val="009350AD"/>
    <w:rsid w:val="00940550"/>
    <w:rsid w:val="009409DD"/>
    <w:rsid w:val="0094142E"/>
    <w:rsid w:val="009444F4"/>
    <w:rsid w:val="00946136"/>
    <w:rsid w:val="00947EFD"/>
    <w:rsid w:val="00952691"/>
    <w:rsid w:val="00952CB9"/>
    <w:rsid w:val="009563A6"/>
    <w:rsid w:val="00960E5B"/>
    <w:rsid w:val="009610F0"/>
    <w:rsid w:val="009647E4"/>
    <w:rsid w:val="00967231"/>
    <w:rsid w:val="009724B4"/>
    <w:rsid w:val="009766EA"/>
    <w:rsid w:val="009773AD"/>
    <w:rsid w:val="0098111E"/>
    <w:rsid w:val="009816E5"/>
    <w:rsid w:val="009822B4"/>
    <w:rsid w:val="00982FB4"/>
    <w:rsid w:val="00984416"/>
    <w:rsid w:val="00987D49"/>
    <w:rsid w:val="00987E9B"/>
    <w:rsid w:val="009A088A"/>
    <w:rsid w:val="009A3FE9"/>
    <w:rsid w:val="009A643D"/>
    <w:rsid w:val="009A7628"/>
    <w:rsid w:val="009B56FF"/>
    <w:rsid w:val="009D11B4"/>
    <w:rsid w:val="009D18DE"/>
    <w:rsid w:val="009D3D2A"/>
    <w:rsid w:val="009D4F1F"/>
    <w:rsid w:val="009E0283"/>
    <w:rsid w:val="009E1EDC"/>
    <w:rsid w:val="009E4339"/>
    <w:rsid w:val="009E544A"/>
    <w:rsid w:val="009E7730"/>
    <w:rsid w:val="009F042B"/>
    <w:rsid w:val="009F0FD8"/>
    <w:rsid w:val="009F1DE4"/>
    <w:rsid w:val="009F1F50"/>
    <w:rsid w:val="009F57A5"/>
    <w:rsid w:val="009F5B43"/>
    <w:rsid w:val="009F6C8E"/>
    <w:rsid w:val="009F75C5"/>
    <w:rsid w:val="00A018EE"/>
    <w:rsid w:val="00A03337"/>
    <w:rsid w:val="00A06F3E"/>
    <w:rsid w:val="00A10FA0"/>
    <w:rsid w:val="00A139B8"/>
    <w:rsid w:val="00A13C2C"/>
    <w:rsid w:val="00A13E87"/>
    <w:rsid w:val="00A1503D"/>
    <w:rsid w:val="00A15665"/>
    <w:rsid w:val="00A203B0"/>
    <w:rsid w:val="00A221F7"/>
    <w:rsid w:val="00A22A6A"/>
    <w:rsid w:val="00A22B9F"/>
    <w:rsid w:val="00A24168"/>
    <w:rsid w:val="00A25C33"/>
    <w:rsid w:val="00A26FFD"/>
    <w:rsid w:val="00A278A9"/>
    <w:rsid w:val="00A31B8C"/>
    <w:rsid w:val="00A33985"/>
    <w:rsid w:val="00A40207"/>
    <w:rsid w:val="00A4064C"/>
    <w:rsid w:val="00A440CD"/>
    <w:rsid w:val="00A44910"/>
    <w:rsid w:val="00A45C41"/>
    <w:rsid w:val="00A45D57"/>
    <w:rsid w:val="00A52A2B"/>
    <w:rsid w:val="00A54208"/>
    <w:rsid w:val="00A542D9"/>
    <w:rsid w:val="00A56BB1"/>
    <w:rsid w:val="00A575D7"/>
    <w:rsid w:val="00A57829"/>
    <w:rsid w:val="00A60384"/>
    <w:rsid w:val="00A644C4"/>
    <w:rsid w:val="00A736BD"/>
    <w:rsid w:val="00A7619A"/>
    <w:rsid w:val="00A76FCB"/>
    <w:rsid w:val="00A828E2"/>
    <w:rsid w:val="00A84084"/>
    <w:rsid w:val="00A84D44"/>
    <w:rsid w:val="00A84E60"/>
    <w:rsid w:val="00A84F8D"/>
    <w:rsid w:val="00A9159C"/>
    <w:rsid w:val="00A95A0C"/>
    <w:rsid w:val="00A95CAD"/>
    <w:rsid w:val="00AA1BE4"/>
    <w:rsid w:val="00AA2A71"/>
    <w:rsid w:val="00AA2A7A"/>
    <w:rsid w:val="00AA4B87"/>
    <w:rsid w:val="00AA5A58"/>
    <w:rsid w:val="00AA6AA3"/>
    <w:rsid w:val="00AB3F5A"/>
    <w:rsid w:val="00AC598D"/>
    <w:rsid w:val="00AC5993"/>
    <w:rsid w:val="00AD3F4B"/>
    <w:rsid w:val="00AD4748"/>
    <w:rsid w:val="00AE0CD7"/>
    <w:rsid w:val="00AE1CD2"/>
    <w:rsid w:val="00AE3985"/>
    <w:rsid w:val="00AF03D0"/>
    <w:rsid w:val="00AF1B93"/>
    <w:rsid w:val="00AF2843"/>
    <w:rsid w:val="00AF3197"/>
    <w:rsid w:val="00AF56D8"/>
    <w:rsid w:val="00AF60F7"/>
    <w:rsid w:val="00AF6F65"/>
    <w:rsid w:val="00B00BFB"/>
    <w:rsid w:val="00B11094"/>
    <w:rsid w:val="00B12D0A"/>
    <w:rsid w:val="00B1441A"/>
    <w:rsid w:val="00B1736A"/>
    <w:rsid w:val="00B17B57"/>
    <w:rsid w:val="00B20408"/>
    <w:rsid w:val="00B21B53"/>
    <w:rsid w:val="00B22B71"/>
    <w:rsid w:val="00B26916"/>
    <w:rsid w:val="00B27C48"/>
    <w:rsid w:val="00B35C7D"/>
    <w:rsid w:val="00B36F51"/>
    <w:rsid w:val="00B42080"/>
    <w:rsid w:val="00B50027"/>
    <w:rsid w:val="00B51C42"/>
    <w:rsid w:val="00B55754"/>
    <w:rsid w:val="00B5731F"/>
    <w:rsid w:val="00B6097E"/>
    <w:rsid w:val="00B610A2"/>
    <w:rsid w:val="00B6524F"/>
    <w:rsid w:val="00B6586F"/>
    <w:rsid w:val="00B660C1"/>
    <w:rsid w:val="00B66BEF"/>
    <w:rsid w:val="00B66C82"/>
    <w:rsid w:val="00B67EDE"/>
    <w:rsid w:val="00B7270F"/>
    <w:rsid w:val="00B767F6"/>
    <w:rsid w:val="00B76999"/>
    <w:rsid w:val="00B77820"/>
    <w:rsid w:val="00B82D29"/>
    <w:rsid w:val="00B84D42"/>
    <w:rsid w:val="00B874A8"/>
    <w:rsid w:val="00B91E5D"/>
    <w:rsid w:val="00B93481"/>
    <w:rsid w:val="00BA3783"/>
    <w:rsid w:val="00BA6C61"/>
    <w:rsid w:val="00BA6EE0"/>
    <w:rsid w:val="00BB041E"/>
    <w:rsid w:val="00BB14E8"/>
    <w:rsid w:val="00BB1B09"/>
    <w:rsid w:val="00BB572B"/>
    <w:rsid w:val="00BB5B10"/>
    <w:rsid w:val="00BB74B1"/>
    <w:rsid w:val="00BC0BC3"/>
    <w:rsid w:val="00BC2416"/>
    <w:rsid w:val="00BC3428"/>
    <w:rsid w:val="00BC43E7"/>
    <w:rsid w:val="00BC5BAE"/>
    <w:rsid w:val="00BD07B0"/>
    <w:rsid w:val="00BE1670"/>
    <w:rsid w:val="00BE3FE8"/>
    <w:rsid w:val="00BF1CA7"/>
    <w:rsid w:val="00BF1F52"/>
    <w:rsid w:val="00BF337F"/>
    <w:rsid w:val="00BF4FAF"/>
    <w:rsid w:val="00BF79AC"/>
    <w:rsid w:val="00C06103"/>
    <w:rsid w:val="00C107C5"/>
    <w:rsid w:val="00C1589E"/>
    <w:rsid w:val="00C160AD"/>
    <w:rsid w:val="00C306DD"/>
    <w:rsid w:val="00C312E3"/>
    <w:rsid w:val="00C31446"/>
    <w:rsid w:val="00C420F2"/>
    <w:rsid w:val="00C4675C"/>
    <w:rsid w:val="00C504A1"/>
    <w:rsid w:val="00C50F03"/>
    <w:rsid w:val="00C55D01"/>
    <w:rsid w:val="00C57DF4"/>
    <w:rsid w:val="00C61B88"/>
    <w:rsid w:val="00C620D9"/>
    <w:rsid w:val="00C63CB6"/>
    <w:rsid w:val="00C63DE7"/>
    <w:rsid w:val="00C646D9"/>
    <w:rsid w:val="00C6541D"/>
    <w:rsid w:val="00C655DE"/>
    <w:rsid w:val="00C7183F"/>
    <w:rsid w:val="00C71D25"/>
    <w:rsid w:val="00C76457"/>
    <w:rsid w:val="00C84559"/>
    <w:rsid w:val="00C939F7"/>
    <w:rsid w:val="00C94A15"/>
    <w:rsid w:val="00C94E79"/>
    <w:rsid w:val="00C95F49"/>
    <w:rsid w:val="00CA078B"/>
    <w:rsid w:val="00CA23F8"/>
    <w:rsid w:val="00CA2B99"/>
    <w:rsid w:val="00CA4493"/>
    <w:rsid w:val="00CA4CC3"/>
    <w:rsid w:val="00CA7971"/>
    <w:rsid w:val="00CB4195"/>
    <w:rsid w:val="00CC5B32"/>
    <w:rsid w:val="00CD05BD"/>
    <w:rsid w:val="00CD6213"/>
    <w:rsid w:val="00CD6650"/>
    <w:rsid w:val="00CD6696"/>
    <w:rsid w:val="00CD686A"/>
    <w:rsid w:val="00CE19AC"/>
    <w:rsid w:val="00CF06C1"/>
    <w:rsid w:val="00CF38F1"/>
    <w:rsid w:val="00CF430C"/>
    <w:rsid w:val="00CF4450"/>
    <w:rsid w:val="00CF6008"/>
    <w:rsid w:val="00D0148B"/>
    <w:rsid w:val="00D01CC5"/>
    <w:rsid w:val="00D026EF"/>
    <w:rsid w:val="00D05459"/>
    <w:rsid w:val="00D07E41"/>
    <w:rsid w:val="00D14F87"/>
    <w:rsid w:val="00D21B5C"/>
    <w:rsid w:val="00D2249C"/>
    <w:rsid w:val="00D23B2C"/>
    <w:rsid w:val="00D271EF"/>
    <w:rsid w:val="00D30DBE"/>
    <w:rsid w:val="00D31EDE"/>
    <w:rsid w:val="00D36BFE"/>
    <w:rsid w:val="00D41DFE"/>
    <w:rsid w:val="00D421C1"/>
    <w:rsid w:val="00D4413A"/>
    <w:rsid w:val="00D445F3"/>
    <w:rsid w:val="00D454B6"/>
    <w:rsid w:val="00D46724"/>
    <w:rsid w:val="00D47D80"/>
    <w:rsid w:val="00D47E2E"/>
    <w:rsid w:val="00D51E41"/>
    <w:rsid w:val="00D53B06"/>
    <w:rsid w:val="00D548E4"/>
    <w:rsid w:val="00D55928"/>
    <w:rsid w:val="00D55FD7"/>
    <w:rsid w:val="00D6042D"/>
    <w:rsid w:val="00D614BD"/>
    <w:rsid w:val="00D65C11"/>
    <w:rsid w:val="00D70756"/>
    <w:rsid w:val="00D71660"/>
    <w:rsid w:val="00D719CA"/>
    <w:rsid w:val="00D73DED"/>
    <w:rsid w:val="00D75993"/>
    <w:rsid w:val="00D76E14"/>
    <w:rsid w:val="00D82B03"/>
    <w:rsid w:val="00D83C65"/>
    <w:rsid w:val="00D87CBE"/>
    <w:rsid w:val="00D90752"/>
    <w:rsid w:val="00D92465"/>
    <w:rsid w:val="00D925DD"/>
    <w:rsid w:val="00D97DEF"/>
    <w:rsid w:val="00D97E51"/>
    <w:rsid w:val="00DA00D2"/>
    <w:rsid w:val="00DB3E96"/>
    <w:rsid w:val="00DB6FE4"/>
    <w:rsid w:val="00DC1CF8"/>
    <w:rsid w:val="00DC3EAD"/>
    <w:rsid w:val="00DC407D"/>
    <w:rsid w:val="00DC49B4"/>
    <w:rsid w:val="00DD7C43"/>
    <w:rsid w:val="00DE0BDE"/>
    <w:rsid w:val="00DE1FBC"/>
    <w:rsid w:val="00DE254B"/>
    <w:rsid w:val="00DE366C"/>
    <w:rsid w:val="00DE495A"/>
    <w:rsid w:val="00DE6348"/>
    <w:rsid w:val="00DF13A1"/>
    <w:rsid w:val="00DF2406"/>
    <w:rsid w:val="00DF3531"/>
    <w:rsid w:val="00DF41F9"/>
    <w:rsid w:val="00E0007B"/>
    <w:rsid w:val="00E01D07"/>
    <w:rsid w:val="00E05072"/>
    <w:rsid w:val="00E05BF3"/>
    <w:rsid w:val="00E12A29"/>
    <w:rsid w:val="00E12BF0"/>
    <w:rsid w:val="00E176D1"/>
    <w:rsid w:val="00E20711"/>
    <w:rsid w:val="00E22AAB"/>
    <w:rsid w:val="00E23B7C"/>
    <w:rsid w:val="00E310A1"/>
    <w:rsid w:val="00E31642"/>
    <w:rsid w:val="00E3331C"/>
    <w:rsid w:val="00E3353C"/>
    <w:rsid w:val="00E360B0"/>
    <w:rsid w:val="00E3620D"/>
    <w:rsid w:val="00E36C54"/>
    <w:rsid w:val="00E37144"/>
    <w:rsid w:val="00E44F04"/>
    <w:rsid w:val="00E47CAF"/>
    <w:rsid w:val="00E50E18"/>
    <w:rsid w:val="00E513EE"/>
    <w:rsid w:val="00E55306"/>
    <w:rsid w:val="00E61481"/>
    <w:rsid w:val="00E63964"/>
    <w:rsid w:val="00E672FE"/>
    <w:rsid w:val="00E67A15"/>
    <w:rsid w:val="00E71EE4"/>
    <w:rsid w:val="00E725E5"/>
    <w:rsid w:val="00E72BD9"/>
    <w:rsid w:val="00E7377E"/>
    <w:rsid w:val="00E74D01"/>
    <w:rsid w:val="00E75B97"/>
    <w:rsid w:val="00E760FB"/>
    <w:rsid w:val="00E76CFF"/>
    <w:rsid w:val="00E77813"/>
    <w:rsid w:val="00E818D0"/>
    <w:rsid w:val="00E81DFE"/>
    <w:rsid w:val="00E8453C"/>
    <w:rsid w:val="00E84827"/>
    <w:rsid w:val="00E852A8"/>
    <w:rsid w:val="00E85EAE"/>
    <w:rsid w:val="00E9123A"/>
    <w:rsid w:val="00E91558"/>
    <w:rsid w:val="00E961AA"/>
    <w:rsid w:val="00EA76B9"/>
    <w:rsid w:val="00EB1940"/>
    <w:rsid w:val="00EB384D"/>
    <w:rsid w:val="00EB4DBE"/>
    <w:rsid w:val="00EC1264"/>
    <w:rsid w:val="00EC23E7"/>
    <w:rsid w:val="00EC6231"/>
    <w:rsid w:val="00EC67EA"/>
    <w:rsid w:val="00EC6AE1"/>
    <w:rsid w:val="00ED0154"/>
    <w:rsid w:val="00ED11E1"/>
    <w:rsid w:val="00ED182C"/>
    <w:rsid w:val="00ED27D7"/>
    <w:rsid w:val="00ED3055"/>
    <w:rsid w:val="00ED681A"/>
    <w:rsid w:val="00ED6C38"/>
    <w:rsid w:val="00EE0D85"/>
    <w:rsid w:val="00EE1136"/>
    <w:rsid w:val="00EE1831"/>
    <w:rsid w:val="00EE441F"/>
    <w:rsid w:val="00EE4C11"/>
    <w:rsid w:val="00EE548B"/>
    <w:rsid w:val="00EE77EA"/>
    <w:rsid w:val="00EE798C"/>
    <w:rsid w:val="00EF2AAF"/>
    <w:rsid w:val="00EF2E75"/>
    <w:rsid w:val="00EF7F37"/>
    <w:rsid w:val="00F0011B"/>
    <w:rsid w:val="00F0079F"/>
    <w:rsid w:val="00F00C42"/>
    <w:rsid w:val="00F058EE"/>
    <w:rsid w:val="00F1047D"/>
    <w:rsid w:val="00F124F7"/>
    <w:rsid w:val="00F12F20"/>
    <w:rsid w:val="00F16862"/>
    <w:rsid w:val="00F2288C"/>
    <w:rsid w:val="00F25385"/>
    <w:rsid w:val="00F34AF2"/>
    <w:rsid w:val="00F3563D"/>
    <w:rsid w:val="00F3795B"/>
    <w:rsid w:val="00F43A94"/>
    <w:rsid w:val="00F47551"/>
    <w:rsid w:val="00F50B21"/>
    <w:rsid w:val="00F512C8"/>
    <w:rsid w:val="00F513B5"/>
    <w:rsid w:val="00F55C34"/>
    <w:rsid w:val="00F5711B"/>
    <w:rsid w:val="00F57BE1"/>
    <w:rsid w:val="00F612BC"/>
    <w:rsid w:val="00F62453"/>
    <w:rsid w:val="00F63F32"/>
    <w:rsid w:val="00F66174"/>
    <w:rsid w:val="00F66F24"/>
    <w:rsid w:val="00F6794D"/>
    <w:rsid w:val="00F70DF2"/>
    <w:rsid w:val="00F7147B"/>
    <w:rsid w:val="00F73361"/>
    <w:rsid w:val="00F73D8F"/>
    <w:rsid w:val="00F77954"/>
    <w:rsid w:val="00F77E6F"/>
    <w:rsid w:val="00F80F14"/>
    <w:rsid w:val="00F83C3C"/>
    <w:rsid w:val="00F8659B"/>
    <w:rsid w:val="00F905FA"/>
    <w:rsid w:val="00F913BE"/>
    <w:rsid w:val="00F94C21"/>
    <w:rsid w:val="00F95448"/>
    <w:rsid w:val="00F95767"/>
    <w:rsid w:val="00FA39BE"/>
    <w:rsid w:val="00FA6745"/>
    <w:rsid w:val="00FB0FB8"/>
    <w:rsid w:val="00FB2782"/>
    <w:rsid w:val="00FB5056"/>
    <w:rsid w:val="00FB518F"/>
    <w:rsid w:val="00FB5B27"/>
    <w:rsid w:val="00FC05A4"/>
    <w:rsid w:val="00FC29B5"/>
    <w:rsid w:val="00FC6BEC"/>
    <w:rsid w:val="00FC734D"/>
    <w:rsid w:val="00FD3F1C"/>
    <w:rsid w:val="00FE3855"/>
    <w:rsid w:val="00FE4D51"/>
    <w:rsid w:val="00FE6439"/>
    <w:rsid w:val="00FE784F"/>
    <w:rsid w:val="00FF076B"/>
    <w:rsid w:val="00FF3A7C"/>
    <w:rsid w:val="06910D3F"/>
    <w:rsid w:val="070D6D82"/>
    <w:rsid w:val="1269411B"/>
    <w:rsid w:val="19597C7C"/>
    <w:rsid w:val="1CC7132A"/>
    <w:rsid w:val="2128666A"/>
    <w:rsid w:val="3474711A"/>
    <w:rsid w:val="39EC4CAB"/>
    <w:rsid w:val="3EA370A9"/>
    <w:rsid w:val="406448D4"/>
    <w:rsid w:val="4815616C"/>
    <w:rsid w:val="48EB5EDA"/>
    <w:rsid w:val="4AD52CE0"/>
    <w:rsid w:val="4B67427A"/>
    <w:rsid w:val="5986753D"/>
    <w:rsid w:val="719036D3"/>
    <w:rsid w:val="72A337F4"/>
    <w:rsid w:val="7D1312C2"/>
    <w:rsid w:val="CF2F3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0"/>
    <w:qFormat/>
    <w:uiPriority w:val="0"/>
    <w:pPr>
      <w:keepNext/>
      <w:keepLines/>
      <w:spacing w:before="260" w:after="260" w:line="415" w:lineRule="auto"/>
      <w:outlineLvl w:val="1"/>
    </w:pPr>
    <w:rPr>
      <w:rFonts w:ascii="Arial" w:hAnsi="Arial" w:eastAsia="黑体"/>
      <w:b/>
      <w:sz w:val="32"/>
      <w:szCs w:val="20"/>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3"/>
    <w:qFormat/>
    <w:uiPriority w:val="0"/>
    <w:pPr>
      <w:ind w:firstLine="600" w:firstLineChars="200"/>
    </w:pPr>
    <w:rPr>
      <w:rFonts w:eastAsia="仿宋_GB2312"/>
      <w:sz w:val="30"/>
    </w:rPr>
  </w:style>
  <w:style w:type="paragraph" w:styleId="4">
    <w:name w:val="Plain Text"/>
    <w:basedOn w:val="1"/>
    <w:link w:val="32"/>
    <w:qFormat/>
    <w:uiPriority w:val="0"/>
    <w:rPr>
      <w:rFonts w:hint="eastAsia" w:ascii="宋体" w:hAnsi="Courier New" w:cs="Courier New"/>
      <w:szCs w:val="21"/>
    </w:rPr>
  </w:style>
  <w:style w:type="paragraph" w:styleId="5">
    <w:name w:val="Balloon Text"/>
    <w:basedOn w:val="1"/>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rPr>
      <w:rFonts w:ascii="Times New Roman" w:hAnsi="Times New Roman" w:eastAsia="宋体"/>
      <w:sz w:val="18"/>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_Style 5"/>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3">
    <w:name w:val="正文文本缩进 Char"/>
    <w:link w:val="3"/>
    <w:qFormat/>
    <w:uiPriority w:val="0"/>
    <w:rPr>
      <w:rFonts w:eastAsia="仿宋_GB2312"/>
      <w:kern w:val="2"/>
      <w:sz w:val="30"/>
      <w:szCs w:val="24"/>
      <w:lang w:val="en-US" w:eastAsia="zh-CN" w:bidi="ar-SA"/>
    </w:rPr>
  </w:style>
  <w:style w:type="character" w:customStyle="1" w:styleId="14">
    <w:name w:val="页眉 Char"/>
    <w:link w:val="7"/>
    <w:qFormat/>
    <w:uiPriority w:val="0"/>
    <w:rPr>
      <w:kern w:val="2"/>
      <w:sz w:val="18"/>
      <w:szCs w:val="18"/>
    </w:rPr>
  </w:style>
  <w:style w:type="character" w:customStyle="1" w:styleId="15">
    <w:name w:val="页脚 Char"/>
    <w:link w:val="6"/>
    <w:qFormat/>
    <w:uiPriority w:val="99"/>
    <w:rPr>
      <w:kern w:val="2"/>
      <w:sz w:val="18"/>
      <w:szCs w:val="18"/>
    </w:rPr>
  </w:style>
  <w:style w:type="character" w:customStyle="1" w:styleId="16">
    <w:name w:val="发布"/>
    <w:qFormat/>
    <w:uiPriority w:val="0"/>
    <w:rPr>
      <w:rFonts w:ascii="黑体" w:eastAsia="黑体"/>
      <w:spacing w:val="22"/>
      <w:w w:val="100"/>
      <w:position w:val="3"/>
      <w:sz w:val="28"/>
    </w:rPr>
  </w:style>
  <w:style w:type="paragraph" w:customStyle="1" w:styleId="17">
    <w:name w:val="发布日期"/>
    <w:qFormat/>
    <w:uiPriority w:val="0"/>
    <w:rPr>
      <w:rFonts w:ascii="Times New Roman" w:hAnsi="Times New Roman" w:eastAsia="黑体" w:cs="Times New Roman"/>
      <w:sz w:val="28"/>
      <w:lang w:val="en-US" w:eastAsia="zh-CN" w:bidi="ar-SA"/>
    </w:rPr>
  </w:style>
  <w:style w:type="paragraph" w:customStyle="1" w:styleId="1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封面正文"/>
    <w:qFormat/>
    <w:uiPriority w:val="0"/>
    <w:pPr>
      <w:jc w:val="both"/>
    </w:pPr>
    <w:rPr>
      <w:rFonts w:ascii="Times New Roman" w:hAnsi="Times New Roman" w:eastAsia="宋体" w:cs="Times New Roman"/>
      <w:lang w:val="en-US" w:eastAsia="zh-CN" w:bidi="ar-SA"/>
    </w:rPr>
  </w:style>
  <w:style w:type="paragraph" w:customStyle="1" w:styleId="21">
    <w:name w:val="发布部门"/>
    <w:next w:val="19"/>
    <w:qFormat/>
    <w:uiPriority w:val="0"/>
    <w:pPr>
      <w:jc w:val="center"/>
    </w:pPr>
    <w:rPr>
      <w:rFonts w:ascii="宋体" w:hAnsi="Times New Roman" w:eastAsia="宋体" w:cs="Times New Roman"/>
      <w:b/>
      <w:spacing w:val="20"/>
      <w:w w:val="135"/>
      <w:sz w:val="36"/>
      <w:lang w:val="en-US" w:eastAsia="zh-CN" w:bidi="ar-SA"/>
    </w:rPr>
  </w:style>
  <w:style w:type="paragraph" w:customStyle="1" w:styleId="22">
    <w:name w:val="实施日期"/>
    <w:basedOn w:val="17"/>
    <w:qFormat/>
    <w:uiPriority w:val="0"/>
    <w:pPr>
      <w:jc w:val="right"/>
    </w:pPr>
  </w:style>
  <w:style w:type="paragraph" w:customStyle="1" w:styleId="2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目次、标准名称标题"/>
    <w:basedOn w:val="1"/>
    <w:next w:val="19"/>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6">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2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9">
    <w:name w:val="章标题"/>
    <w:next w:val="19"/>
    <w:qFormat/>
    <w:uiPriority w:val="0"/>
    <w:pPr>
      <w:spacing w:before="50" w:after="50"/>
      <w:jc w:val="both"/>
      <w:outlineLvl w:val="1"/>
    </w:pPr>
    <w:rPr>
      <w:rFonts w:ascii="黑体" w:hAnsi="Times New Roman" w:eastAsia="黑体" w:cs="Times New Roman"/>
      <w:sz w:val="21"/>
      <w:lang w:val="en-US" w:eastAsia="zh-CN" w:bidi="ar-SA"/>
    </w:rPr>
  </w:style>
  <w:style w:type="character" w:customStyle="1" w:styleId="30">
    <w:name w:val="标题 2 Char"/>
    <w:link w:val="2"/>
    <w:qFormat/>
    <w:uiPriority w:val="0"/>
    <w:rPr>
      <w:rFonts w:ascii="Arial" w:hAnsi="Arial" w:eastAsia="黑体"/>
      <w:b/>
      <w:kern w:val="2"/>
      <w:sz w:val="32"/>
    </w:rPr>
  </w:style>
  <w:style w:type="character" w:customStyle="1" w:styleId="31">
    <w:name w:val="postbody"/>
    <w:qFormat/>
    <w:uiPriority w:val="0"/>
  </w:style>
  <w:style w:type="character" w:customStyle="1" w:styleId="32">
    <w:name w:val="纯文本 Char"/>
    <w:link w:val="4"/>
    <w:qFormat/>
    <w:uiPriority w:val="0"/>
    <w:rPr>
      <w:rFonts w:ascii="宋体" w:hAnsi="Courier New" w:cs="Courier New"/>
      <w:kern w:val="2"/>
      <w:sz w:val="21"/>
      <w:szCs w:val="21"/>
    </w:rPr>
  </w:style>
  <w:style w:type="paragraph" w:customStyle="1" w:styleId="33">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484</Words>
  <Characters>2762</Characters>
  <Lines>23</Lines>
  <Paragraphs>6</Paragraphs>
  <TotalTime>25</TotalTime>
  <ScaleCrop>false</ScaleCrop>
  <LinksUpToDate>false</LinksUpToDate>
  <CharactersWithSpaces>3240</CharactersWithSpaces>
  <Application>WPS Office_10.1.0.8016_F1E327BC-269C-435d-A152-05C5408002CA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2021-11-04T10:36:00Z</dcterms:created>
  <dc:creator>MC SYSTEM</dc:creator>
  <cp:lastModifiedBy>hj0niuj</cp:lastModifiedBy>
  <cp:lastPrinted>2012-02-10T18:51:00Z</cp:lastPrinted>
  <dcterms:modified xsi:type="dcterms:W3CDTF">2023-08-02T14:59:48Z</dcterms:modified>
  <dc:title>关于召开《化妆品卫生行政许可检验机构认定办法》修订工作座谈会的函</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30CF62D413AC491C86DEAF787AB1949D_13</vt:lpwstr>
  </property>
</Properties>
</file>